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F416" w14:textId="7DE6149E" w:rsidR="002143BE" w:rsidRDefault="002143BE" w:rsidP="002143BE">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Hunting, the Wilderness, and Imperialism</w:t>
      </w:r>
    </w:p>
    <w:p w14:paraId="0F35D0BA" w14:textId="77777777" w:rsidR="002143BE" w:rsidRPr="002F6F7D" w:rsidRDefault="002143BE" w:rsidP="002143BE">
      <w:pPr>
        <w:pBdr>
          <w:bottom w:val="single" w:sz="4" w:space="1" w:color="auto"/>
        </w:pBdr>
        <w:jc w:val="center"/>
        <w:rPr>
          <w:rFonts w:ascii="Avenir Next LT Pro" w:hAnsi="Avenir Next LT Pro"/>
          <w:b/>
          <w:bCs/>
          <w:sz w:val="40"/>
          <w:szCs w:val="40"/>
        </w:rPr>
      </w:pPr>
      <w:r w:rsidRPr="002F6F7D">
        <w:rPr>
          <w:rFonts w:ascii="Avenir Next LT Pro" w:hAnsi="Avenir Next LT Pro"/>
          <w:sz w:val="32"/>
          <w:szCs w:val="32"/>
        </w:rPr>
        <w:t>0.2 - About this Module for Students</w:t>
      </w:r>
    </w:p>
    <w:p w14:paraId="1E953628" w14:textId="77777777" w:rsidR="002143BE" w:rsidRPr="00024FCC" w:rsidRDefault="002143BE" w:rsidP="002143BE">
      <w:pPr>
        <w:pBdr>
          <w:bottom w:val="single" w:sz="4" w:space="1" w:color="auto"/>
        </w:pBdr>
        <w:jc w:val="center"/>
        <w:rPr>
          <w:rFonts w:ascii="Avenir Next LT Pro" w:hAnsi="Avenir Next LT Pro"/>
          <w:sz w:val="32"/>
          <w:szCs w:val="32"/>
        </w:rPr>
      </w:pPr>
    </w:p>
    <w:p w14:paraId="5D4B540D" w14:textId="77777777" w:rsidR="002143BE" w:rsidRPr="00925BBD" w:rsidRDefault="002143BE" w:rsidP="002143BE">
      <w:pPr>
        <w:spacing w:line="276" w:lineRule="auto"/>
        <w:rPr>
          <w:rFonts w:ascii="Times New Roman" w:hAnsi="Times New Roman"/>
          <w:color w:val="000000" w:themeColor="text1"/>
        </w:rPr>
      </w:pPr>
    </w:p>
    <w:p w14:paraId="5F0BA666" w14:textId="77777777" w:rsidR="001569CA" w:rsidRDefault="001569CA" w:rsidP="001569CA">
      <w:pPr>
        <w:pStyle w:val="Style1"/>
        <w:rPr>
          <w:b/>
          <w:bCs/>
        </w:rPr>
      </w:pPr>
    </w:p>
    <w:p w14:paraId="5CFB8C8A" w14:textId="77777777" w:rsidR="001569CA" w:rsidRDefault="001569CA" w:rsidP="001569CA">
      <w:pPr>
        <w:pStyle w:val="Style1"/>
        <w:rPr>
          <w:rFonts w:ascii="Calibri" w:hAnsi="Calibri" w:cs="Calibri"/>
          <w:b/>
          <w:bCs/>
          <w:sz w:val="24"/>
          <w:szCs w:val="24"/>
        </w:rPr>
      </w:pPr>
      <w:r w:rsidRPr="002143BE">
        <w:rPr>
          <w:rFonts w:ascii="Calibri" w:hAnsi="Calibri" w:cs="Calibri"/>
          <w:b/>
          <w:bCs/>
          <w:sz w:val="24"/>
          <w:szCs w:val="24"/>
        </w:rPr>
        <w:t>Introduction</w:t>
      </w:r>
    </w:p>
    <w:p w14:paraId="782C5F17" w14:textId="77777777" w:rsidR="002143BE" w:rsidRPr="002143BE" w:rsidRDefault="002143BE" w:rsidP="001569CA">
      <w:pPr>
        <w:pStyle w:val="Style1"/>
        <w:rPr>
          <w:rFonts w:ascii="Calibri" w:hAnsi="Calibri" w:cs="Calibri"/>
          <w:b/>
          <w:bCs/>
          <w:sz w:val="24"/>
          <w:szCs w:val="24"/>
        </w:rPr>
      </w:pPr>
    </w:p>
    <w:p w14:paraId="5CD01E66" w14:textId="1252DC1E" w:rsidR="001569CA" w:rsidRPr="002143BE" w:rsidRDefault="001569CA" w:rsidP="001569CA">
      <w:pPr>
        <w:pStyle w:val="Style1"/>
        <w:rPr>
          <w:rFonts w:ascii="Calibri" w:hAnsi="Calibri" w:cs="Calibri"/>
          <w:sz w:val="24"/>
          <w:szCs w:val="24"/>
        </w:rPr>
      </w:pPr>
      <w:r w:rsidRPr="002143BE">
        <w:rPr>
          <w:rFonts w:ascii="Calibri" w:hAnsi="Calibri" w:cs="Calibri"/>
          <w:sz w:val="24"/>
          <w:szCs w:val="24"/>
        </w:rPr>
        <w:t>This module explores the ways humans hunted, poached, and preserved wildlife during the nineteenth and twentieth centuries. It focuses primarily on imperial case studies in Britain, India, eastern Africa, and the United States. In all these instances, the ruling elites were the ones to define what were “appropriate” methods and practices of hunting. They then used those definitions to deny colonized subjects and the rural poor access to wildlife and wild spaces. Typically, it was also the elite class that commissioned paintings, took photographs, and wrote memoirs documenting their hunting experiences. This means that our historical understanding about the wilderness, animals, and hunting only comes from a small group of people.</w:t>
      </w:r>
    </w:p>
    <w:p w14:paraId="0B00B3D9" w14:textId="77777777" w:rsidR="001569CA" w:rsidRPr="002143BE" w:rsidRDefault="001569CA" w:rsidP="001569CA">
      <w:pPr>
        <w:pStyle w:val="Style1"/>
        <w:rPr>
          <w:rFonts w:ascii="Calibri" w:hAnsi="Calibri" w:cs="Calibri"/>
          <w:sz w:val="24"/>
          <w:szCs w:val="24"/>
        </w:rPr>
      </w:pPr>
    </w:p>
    <w:p w14:paraId="394B8325" w14:textId="3773CDA7" w:rsidR="001569CA" w:rsidRPr="002143BE" w:rsidRDefault="001569CA" w:rsidP="001569CA">
      <w:pPr>
        <w:pStyle w:val="Style1"/>
        <w:rPr>
          <w:rFonts w:ascii="Calibri" w:hAnsi="Calibri" w:cs="Calibri"/>
          <w:sz w:val="24"/>
          <w:szCs w:val="24"/>
        </w:rPr>
      </w:pPr>
      <w:r w:rsidRPr="002143BE">
        <w:rPr>
          <w:rFonts w:ascii="Calibri" w:hAnsi="Calibri" w:cs="Calibri"/>
          <w:sz w:val="24"/>
          <w:szCs w:val="24"/>
        </w:rPr>
        <w:t xml:space="preserve">By the end of the module, we will be able to historicize the idea of “wilderness” as it relates to the creation of modern hunting practices and national parks. We will learn to read elite primary sources “against the grain” so that we not only understand their perspectives but also the perspectives of people who did not leave a written record such as the working classes, colonized subjects, and the rural poor. We will also reflect on the history of poaching as an act of political resistance alongside international efforts to preserve endangered species. In considering a sustainable future between humans and animals, this module challenges us to investigate local alternatives to global environmental governance. </w:t>
      </w:r>
    </w:p>
    <w:p w14:paraId="20F2E355" w14:textId="77777777" w:rsidR="001569CA" w:rsidRPr="002143BE" w:rsidRDefault="001569CA" w:rsidP="001569CA">
      <w:pPr>
        <w:pStyle w:val="Style1"/>
        <w:rPr>
          <w:rFonts w:ascii="Calibri" w:hAnsi="Calibri" w:cs="Calibri"/>
          <w:sz w:val="24"/>
          <w:szCs w:val="24"/>
        </w:rPr>
      </w:pPr>
    </w:p>
    <w:p w14:paraId="2107F2E5" w14:textId="77777777" w:rsidR="001569CA" w:rsidRPr="002143BE" w:rsidRDefault="001569CA" w:rsidP="001569CA">
      <w:pPr>
        <w:pStyle w:val="Style1"/>
        <w:rPr>
          <w:rFonts w:ascii="Calibri" w:hAnsi="Calibri" w:cs="Calibri"/>
          <w:sz w:val="24"/>
          <w:szCs w:val="24"/>
        </w:rPr>
      </w:pPr>
      <w:r w:rsidRPr="002143BE">
        <w:rPr>
          <w:rFonts w:ascii="Calibri" w:hAnsi="Calibri" w:cs="Calibri"/>
          <w:sz w:val="24"/>
          <w:szCs w:val="24"/>
        </w:rPr>
        <w:t xml:space="preserve">We designed this lesson to require roughly six hours of class time over two weeks and about twice that amount preparing for class. If it takes significantly more than that, you should talk to your professor. It may be that they can offer some useful guidance to you, or it may be that they can offer some guidance to the </w:t>
      </w:r>
      <w:r w:rsidRPr="002143BE">
        <w:rPr>
          <w:rFonts w:ascii="Calibri" w:hAnsi="Calibri" w:cs="Calibri"/>
          <w:i/>
          <w:iCs/>
          <w:sz w:val="24"/>
          <w:szCs w:val="24"/>
        </w:rPr>
        <w:t>History for the 21</w:t>
      </w:r>
      <w:r w:rsidRPr="002143BE">
        <w:rPr>
          <w:rFonts w:ascii="Calibri" w:hAnsi="Calibri" w:cs="Calibri"/>
          <w:i/>
          <w:iCs/>
          <w:sz w:val="24"/>
          <w:szCs w:val="24"/>
          <w:vertAlign w:val="superscript"/>
        </w:rPr>
        <w:t>st</w:t>
      </w:r>
      <w:r w:rsidRPr="002143BE">
        <w:rPr>
          <w:rFonts w:ascii="Calibri" w:hAnsi="Calibri" w:cs="Calibri"/>
          <w:i/>
          <w:iCs/>
          <w:sz w:val="24"/>
          <w:szCs w:val="24"/>
        </w:rPr>
        <w:t xml:space="preserve"> Century </w:t>
      </w:r>
      <w:r w:rsidRPr="002143BE">
        <w:rPr>
          <w:rFonts w:ascii="Calibri" w:hAnsi="Calibri" w:cs="Calibri"/>
          <w:sz w:val="24"/>
          <w:szCs w:val="24"/>
        </w:rPr>
        <w:t>project to adjust the lesson for future students.</w:t>
      </w:r>
    </w:p>
    <w:p w14:paraId="48FE0BD0" w14:textId="77777777" w:rsidR="001569CA" w:rsidRPr="002143BE" w:rsidRDefault="001569CA" w:rsidP="001569CA">
      <w:pPr>
        <w:pStyle w:val="Style1"/>
        <w:rPr>
          <w:rFonts w:ascii="Calibri" w:hAnsi="Calibri" w:cs="Calibri"/>
          <w:sz w:val="24"/>
          <w:szCs w:val="24"/>
        </w:rPr>
      </w:pPr>
    </w:p>
    <w:p w14:paraId="5518157C" w14:textId="77777777" w:rsidR="001569CA" w:rsidRDefault="001569CA" w:rsidP="001569CA">
      <w:pPr>
        <w:pStyle w:val="Style1"/>
        <w:rPr>
          <w:rFonts w:ascii="Calibri" w:hAnsi="Calibri" w:cs="Calibri"/>
          <w:b/>
          <w:bCs/>
          <w:sz w:val="24"/>
          <w:szCs w:val="24"/>
        </w:rPr>
      </w:pPr>
      <w:r w:rsidRPr="002143BE">
        <w:rPr>
          <w:rFonts w:ascii="Calibri" w:hAnsi="Calibri" w:cs="Calibri"/>
          <w:b/>
          <w:bCs/>
          <w:sz w:val="24"/>
          <w:szCs w:val="24"/>
        </w:rPr>
        <w:t>Format</w:t>
      </w:r>
    </w:p>
    <w:p w14:paraId="5B2A2CED" w14:textId="77777777" w:rsidR="002143BE" w:rsidRPr="002143BE" w:rsidRDefault="002143BE" w:rsidP="001569CA">
      <w:pPr>
        <w:pStyle w:val="Style1"/>
        <w:rPr>
          <w:rFonts w:ascii="Calibri" w:hAnsi="Calibri" w:cs="Calibri"/>
          <w:b/>
          <w:bCs/>
          <w:sz w:val="24"/>
          <w:szCs w:val="24"/>
        </w:rPr>
      </w:pPr>
    </w:p>
    <w:p w14:paraId="17FD179B" w14:textId="622A5322" w:rsidR="001569CA" w:rsidRPr="002143BE" w:rsidRDefault="001569CA" w:rsidP="001569CA">
      <w:pPr>
        <w:pStyle w:val="Style1"/>
        <w:rPr>
          <w:rFonts w:ascii="Calibri" w:hAnsi="Calibri" w:cs="Calibri"/>
          <w:sz w:val="24"/>
          <w:szCs w:val="24"/>
        </w:rPr>
      </w:pPr>
      <w:r w:rsidRPr="002143BE">
        <w:rPr>
          <w:rFonts w:ascii="Calibri" w:hAnsi="Calibri" w:cs="Calibri"/>
          <w:sz w:val="24"/>
          <w:szCs w:val="24"/>
        </w:rPr>
        <w:t xml:space="preserve">This module centers on discussions of primary sources—both texts written during the </w:t>
      </w:r>
      <w:proofErr w:type="gramStart"/>
      <w:r w:rsidRPr="002143BE">
        <w:rPr>
          <w:rFonts w:ascii="Calibri" w:hAnsi="Calibri" w:cs="Calibri"/>
          <w:sz w:val="24"/>
          <w:szCs w:val="24"/>
        </w:rPr>
        <w:t>period of time</w:t>
      </w:r>
      <w:proofErr w:type="gramEnd"/>
      <w:r w:rsidRPr="002143BE">
        <w:rPr>
          <w:rFonts w:ascii="Calibri" w:hAnsi="Calibri" w:cs="Calibri"/>
          <w:sz w:val="24"/>
          <w:szCs w:val="24"/>
        </w:rPr>
        <w:t xml:space="preserve"> we are studying, and pictures of images and production produced during that time—placed in context by short readings produced by professional historians. </w:t>
      </w:r>
    </w:p>
    <w:p w14:paraId="637F5BD0" w14:textId="77777777" w:rsidR="001569CA" w:rsidRPr="002143BE" w:rsidRDefault="001569CA" w:rsidP="001569CA">
      <w:pPr>
        <w:pStyle w:val="Style1"/>
        <w:rPr>
          <w:rFonts w:ascii="Calibri" w:hAnsi="Calibri" w:cs="Calibri"/>
          <w:sz w:val="24"/>
          <w:szCs w:val="24"/>
        </w:rPr>
      </w:pPr>
    </w:p>
    <w:p w14:paraId="27F237D8" w14:textId="77777777" w:rsidR="001569CA" w:rsidRDefault="001569CA" w:rsidP="001569CA">
      <w:pPr>
        <w:pStyle w:val="Style1"/>
        <w:rPr>
          <w:rFonts w:ascii="Calibri" w:hAnsi="Calibri" w:cs="Calibri"/>
          <w:b/>
          <w:bCs/>
          <w:sz w:val="24"/>
          <w:szCs w:val="24"/>
        </w:rPr>
      </w:pPr>
      <w:r w:rsidRPr="002143BE">
        <w:rPr>
          <w:rFonts w:ascii="Calibri" w:hAnsi="Calibri" w:cs="Calibri"/>
          <w:b/>
          <w:bCs/>
          <w:sz w:val="24"/>
          <w:szCs w:val="24"/>
        </w:rPr>
        <w:t>Learning Goals</w:t>
      </w:r>
    </w:p>
    <w:p w14:paraId="33A203F0" w14:textId="77777777" w:rsidR="002143BE" w:rsidRPr="002143BE" w:rsidRDefault="002143BE" w:rsidP="001569CA">
      <w:pPr>
        <w:pStyle w:val="Style1"/>
        <w:rPr>
          <w:rFonts w:ascii="Calibri" w:hAnsi="Calibri" w:cs="Calibri"/>
          <w:b/>
          <w:bCs/>
          <w:sz w:val="24"/>
          <w:szCs w:val="24"/>
        </w:rPr>
      </w:pPr>
    </w:p>
    <w:p w14:paraId="125527EC" w14:textId="77777777" w:rsidR="001569CA" w:rsidRPr="002143BE" w:rsidRDefault="001569CA" w:rsidP="001569CA">
      <w:pPr>
        <w:pStyle w:val="Style1"/>
        <w:rPr>
          <w:rFonts w:ascii="Calibri" w:hAnsi="Calibri" w:cs="Calibri"/>
          <w:sz w:val="24"/>
          <w:szCs w:val="24"/>
        </w:rPr>
      </w:pPr>
      <w:r w:rsidRPr="002143BE">
        <w:rPr>
          <w:rFonts w:ascii="Calibri" w:hAnsi="Calibri" w:cs="Calibri"/>
          <w:sz w:val="24"/>
          <w:szCs w:val="24"/>
        </w:rPr>
        <w:t>By the completion of our module, you will have analyzed a diverse collection of primary documents that relate to the history of hunting, poaching, and preserving wildlife. You will:</w:t>
      </w:r>
    </w:p>
    <w:p w14:paraId="67E94307" w14:textId="6B32A415" w:rsidR="001569CA" w:rsidRPr="002143BE" w:rsidRDefault="001569CA" w:rsidP="001569CA">
      <w:pPr>
        <w:pStyle w:val="Style1"/>
        <w:numPr>
          <w:ilvl w:val="0"/>
          <w:numId w:val="1"/>
        </w:numPr>
        <w:rPr>
          <w:rFonts w:ascii="Calibri" w:hAnsi="Calibri" w:cs="Calibri"/>
          <w:sz w:val="24"/>
          <w:szCs w:val="24"/>
        </w:rPr>
      </w:pPr>
      <w:r w:rsidRPr="002143BE">
        <w:rPr>
          <w:rFonts w:ascii="Calibri" w:hAnsi="Calibri" w:cs="Calibri"/>
          <w:sz w:val="24"/>
          <w:szCs w:val="24"/>
        </w:rPr>
        <w:lastRenderedPageBreak/>
        <w:t xml:space="preserve">learn to read a single primary source document “against the grain” </w:t>
      </w:r>
      <w:proofErr w:type="gramStart"/>
      <w:r w:rsidRPr="002143BE">
        <w:rPr>
          <w:rFonts w:ascii="Calibri" w:hAnsi="Calibri" w:cs="Calibri"/>
          <w:sz w:val="24"/>
          <w:szCs w:val="24"/>
        </w:rPr>
        <w:t>in order to</w:t>
      </w:r>
      <w:proofErr w:type="gramEnd"/>
      <w:r w:rsidRPr="002143BE">
        <w:rPr>
          <w:rFonts w:ascii="Calibri" w:hAnsi="Calibri" w:cs="Calibri"/>
          <w:sz w:val="24"/>
          <w:szCs w:val="24"/>
        </w:rPr>
        <w:t xml:space="preserve"> understand an event from the perspective of multiple historical actors. </w:t>
      </w:r>
    </w:p>
    <w:p w14:paraId="7ABD4984" w14:textId="77777777" w:rsidR="001569CA" w:rsidRPr="002143BE" w:rsidRDefault="001569CA" w:rsidP="001569CA">
      <w:pPr>
        <w:pStyle w:val="Style1"/>
        <w:numPr>
          <w:ilvl w:val="0"/>
          <w:numId w:val="1"/>
        </w:numPr>
        <w:rPr>
          <w:rFonts w:ascii="Calibri" w:hAnsi="Calibri" w:cs="Calibri"/>
          <w:sz w:val="24"/>
          <w:szCs w:val="24"/>
        </w:rPr>
      </w:pPr>
      <w:r w:rsidRPr="002143BE">
        <w:rPr>
          <w:rFonts w:ascii="Calibri" w:hAnsi="Calibri" w:cs="Calibri"/>
          <w:sz w:val="24"/>
          <w:szCs w:val="24"/>
        </w:rPr>
        <w:t xml:space="preserve">observe ways in which the relationship between humans and the non-human environment has been historically constructed. </w:t>
      </w:r>
    </w:p>
    <w:p w14:paraId="4ABA5553" w14:textId="77777777" w:rsidR="001569CA" w:rsidRPr="002143BE" w:rsidRDefault="001569CA" w:rsidP="001569CA">
      <w:pPr>
        <w:pStyle w:val="Style1"/>
        <w:numPr>
          <w:ilvl w:val="0"/>
          <w:numId w:val="1"/>
        </w:numPr>
        <w:rPr>
          <w:rFonts w:ascii="Calibri" w:hAnsi="Calibri" w:cs="Calibri"/>
          <w:sz w:val="24"/>
          <w:szCs w:val="24"/>
        </w:rPr>
      </w:pPr>
      <w:r w:rsidRPr="002143BE">
        <w:rPr>
          <w:rFonts w:ascii="Calibri" w:hAnsi="Calibri" w:cs="Calibri"/>
          <w:sz w:val="24"/>
          <w:szCs w:val="24"/>
        </w:rPr>
        <w:t xml:space="preserve">understand that one’s social position influences how one </w:t>
      </w:r>
      <w:proofErr w:type="gramStart"/>
      <w:r w:rsidRPr="002143BE">
        <w:rPr>
          <w:rFonts w:ascii="Calibri" w:hAnsi="Calibri" w:cs="Calibri"/>
          <w:sz w:val="24"/>
          <w:szCs w:val="24"/>
        </w:rPr>
        <w:t>is able to</w:t>
      </w:r>
      <w:proofErr w:type="gramEnd"/>
      <w:r w:rsidRPr="002143BE">
        <w:rPr>
          <w:rFonts w:ascii="Calibri" w:hAnsi="Calibri" w:cs="Calibri"/>
          <w:sz w:val="24"/>
          <w:szCs w:val="24"/>
        </w:rPr>
        <w:t xml:space="preserve"> interact with the non-human environment.</w:t>
      </w:r>
    </w:p>
    <w:p w14:paraId="3F6791D0" w14:textId="77777777" w:rsidR="001569CA" w:rsidRPr="002143BE" w:rsidRDefault="001569CA" w:rsidP="001569CA">
      <w:pPr>
        <w:pStyle w:val="Style1"/>
        <w:rPr>
          <w:rFonts w:ascii="Calibri" w:hAnsi="Calibri" w:cs="Calibri"/>
          <w:b/>
          <w:bCs/>
          <w:sz w:val="24"/>
          <w:szCs w:val="24"/>
        </w:rPr>
      </w:pPr>
    </w:p>
    <w:p w14:paraId="6AB47A4E" w14:textId="10CDBA0F" w:rsidR="001569CA" w:rsidRPr="002143BE" w:rsidRDefault="001569CA" w:rsidP="002143BE">
      <w:pPr>
        <w:pStyle w:val="Style1"/>
        <w:jc w:val="center"/>
        <w:rPr>
          <w:rFonts w:ascii="Calibri" w:hAnsi="Calibri" w:cs="Calibri"/>
          <w:b/>
          <w:bCs/>
          <w:sz w:val="28"/>
          <w:szCs w:val="28"/>
        </w:rPr>
      </w:pPr>
      <w:r w:rsidRPr="002143BE">
        <w:rPr>
          <w:rFonts w:ascii="Calibri" w:hAnsi="Calibri" w:cs="Calibri"/>
          <w:b/>
          <w:bCs/>
          <w:sz w:val="28"/>
          <w:szCs w:val="28"/>
        </w:rPr>
        <w:t>Schedule and Readings</w:t>
      </w:r>
    </w:p>
    <w:p w14:paraId="04D7DF17" w14:textId="77777777" w:rsidR="002143BE" w:rsidRPr="002143BE" w:rsidRDefault="002143BE" w:rsidP="002143BE">
      <w:pPr>
        <w:pStyle w:val="Style1"/>
        <w:jc w:val="center"/>
        <w:rPr>
          <w:rFonts w:ascii="Calibri" w:hAnsi="Calibri" w:cs="Calibri"/>
          <w:b/>
          <w:bCs/>
          <w:sz w:val="24"/>
          <w:szCs w:val="24"/>
        </w:rPr>
      </w:pPr>
    </w:p>
    <w:tbl>
      <w:tblPr>
        <w:tblStyle w:val="TableGrid"/>
        <w:tblW w:w="9445" w:type="dxa"/>
        <w:tblLayout w:type="fixed"/>
        <w:tblLook w:val="04A0" w:firstRow="1" w:lastRow="0" w:firstColumn="1" w:lastColumn="0" w:noHBand="0" w:noVBand="1"/>
      </w:tblPr>
      <w:tblGrid>
        <w:gridCol w:w="2155"/>
        <w:gridCol w:w="3690"/>
        <w:gridCol w:w="3600"/>
      </w:tblGrid>
      <w:tr w:rsidR="001569CA" w:rsidRPr="002143BE" w14:paraId="1B7651B7" w14:textId="77777777" w:rsidTr="00AB74E3">
        <w:tc>
          <w:tcPr>
            <w:tcW w:w="2155" w:type="dxa"/>
          </w:tcPr>
          <w:p w14:paraId="28C4E28C"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Topic</w:t>
            </w:r>
          </w:p>
        </w:tc>
        <w:tc>
          <w:tcPr>
            <w:tcW w:w="3690" w:type="dxa"/>
          </w:tcPr>
          <w:p w14:paraId="2433D107"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Readings before the class</w:t>
            </w:r>
          </w:p>
        </w:tc>
        <w:tc>
          <w:tcPr>
            <w:tcW w:w="3600" w:type="dxa"/>
          </w:tcPr>
          <w:p w14:paraId="72E6CDE9"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In-class activities</w:t>
            </w:r>
          </w:p>
        </w:tc>
      </w:tr>
      <w:tr w:rsidR="001569CA" w:rsidRPr="002143BE" w14:paraId="2D08DAC4" w14:textId="77777777" w:rsidTr="00AB74E3">
        <w:tc>
          <w:tcPr>
            <w:tcW w:w="2155" w:type="dxa"/>
          </w:tcPr>
          <w:p w14:paraId="2529ACE1"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Before the module</w:t>
            </w:r>
          </w:p>
        </w:tc>
        <w:tc>
          <w:tcPr>
            <w:tcW w:w="3690" w:type="dxa"/>
          </w:tcPr>
          <w:p w14:paraId="4AD9ED95" w14:textId="77777777" w:rsidR="001569CA" w:rsidRPr="002143BE" w:rsidRDefault="001569CA" w:rsidP="001569CA">
            <w:pPr>
              <w:pStyle w:val="ListParagraph"/>
              <w:numPr>
                <w:ilvl w:val="0"/>
                <w:numId w:val="2"/>
              </w:numPr>
              <w:spacing w:line="252" w:lineRule="auto"/>
              <w:rPr>
                <w:rFonts w:ascii="Calibri" w:hAnsi="Calibri" w:cs="Calibri"/>
                <w:bCs/>
                <w:color w:val="000000" w:themeColor="text1"/>
              </w:rPr>
            </w:pPr>
            <w:r w:rsidRPr="002143BE">
              <w:rPr>
                <w:rFonts w:ascii="Calibri" w:hAnsi="Calibri" w:cs="Calibri"/>
                <w:bCs/>
                <w:color w:val="000000" w:themeColor="text1"/>
              </w:rPr>
              <w:t>About this module</w:t>
            </w:r>
          </w:p>
        </w:tc>
        <w:tc>
          <w:tcPr>
            <w:tcW w:w="3600" w:type="dxa"/>
          </w:tcPr>
          <w:p w14:paraId="257C4FA9" w14:textId="77777777" w:rsidR="001569CA" w:rsidRPr="002143BE" w:rsidRDefault="001569CA" w:rsidP="00AB74E3">
            <w:pPr>
              <w:spacing w:line="252" w:lineRule="auto"/>
              <w:rPr>
                <w:rFonts w:ascii="Calibri" w:hAnsi="Calibri" w:cs="Calibri"/>
                <w:b/>
                <w:color w:val="000000" w:themeColor="text1"/>
              </w:rPr>
            </w:pPr>
          </w:p>
        </w:tc>
      </w:tr>
      <w:tr w:rsidR="001569CA" w:rsidRPr="002143BE" w14:paraId="586E19BF" w14:textId="77777777" w:rsidTr="00AB74E3">
        <w:tc>
          <w:tcPr>
            <w:tcW w:w="2155" w:type="dxa"/>
          </w:tcPr>
          <w:p w14:paraId="47BD58E9"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Lesson 1: Hunting in the “Wilderness”</w:t>
            </w:r>
          </w:p>
        </w:tc>
        <w:tc>
          <w:tcPr>
            <w:tcW w:w="3690" w:type="dxa"/>
          </w:tcPr>
          <w:p w14:paraId="4608B5F7" w14:textId="77777777" w:rsidR="001569CA" w:rsidRPr="002143BE" w:rsidRDefault="001569CA" w:rsidP="001569CA">
            <w:pPr>
              <w:pStyle w:val="ListParagraph"/>
              <w:numPr>
                <w:ilvl w:val="0"/>
                <w:numId w:val="3"/>
              </w:numPr>
              <w:spacing w:line="252" w:lineRule="auto"/>
              <w:rPr>
                <w:rFonts w:ascii="Calibri" w:hAnsi="Calibri" w:cs="Calibri"/>
                <w:bCs/>
                <w:color w:val="000000" w:themeColor="text1"/>
              </w:rPr>
            </w:pPr>
            <w:r w:rsidRPr="002143BE">
              <w:rPr>
                <w:rFonts w:ascii="Calibri" w:hAnsi="Calibri" w:cs="Calibri"/>
                <w:bCs/>
                <w:color w:val="000000" w:themeColor="text1"/>
              </w:rPr>
              <w:t>Reading 1: “Hunting in the ‘Wilderness’”</w:t>
            </w:r>
          </w:p>
        </w:tc>
        <w:tc>
          <w:tcPr>
            <w:tcW w:w="3600" w:type="dxa"/>
          </w:tcPr>
          <w:p w14:paraId="57399DF8" w14:textId="77777777" w:rsidR="001569CA" w:rsidRPr="002143BE" w:rsidRDefault="001569CA" w:rsidP="001569CA">
            <w:pPr>
              <w:pStyle w:val="ListParagraph"/>
              <w:numPr>
                <w:ilvl w:val="0"/>
                <w:numId w:val="3"/>
              </w:numPr>
              <w:spacing w:line="252" w:lineRule="auto"/>
              <w:rPr>
                <w:rFonts w:ascii="Calibri" w:eastAsiaTheme="minorEastAsia" w:hAnsi="Calibri" w:cs="Calibri"/>
                <w:b/>
                <w:color w:val="000000" w:themeColor="text1"/>
              </w:rPr>
            </w:pPr>
            <w:r w:rsidRPr="002143BE">
              <w:rPr>
                <w:rFonts w:ascii="Calibri" w:eastAsiaTheme="minorEastAsia" w:hAnsi="Calibri" w:cs="Calibri"/>
                <w:bCs/>
                <w:color w:val="000000" w:themeColor="text1"/>
              </w:rPr>
              <w:t>Visualizing your wilderness</w:t>
            </w:r>
          </w:p>
        </w:tc>
      </w:tr>
      <w:tr w:rsidR="001569CA" w:rsidRPr="002143BE" w14:paraId="7639D010" w14:textId="77777777" w:rsidTr="00AB74E3">
        <w:tc>
          <w:tcPr>
            <w:tcW w:w="2155" w:type="dxa"/>
          </w:tcPr>
          <w:p w14:paraId="12DE8862"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Lesson 2: Hunting and Masculinity in Imperial Africa</w:t>
            </w:r>
          </w:p>
        </w:tc>
        <w:tc>
          <w:tcPr>
            <w:tcW w:w="3690" w:type="dxa"/>
          </w:tcPr>
          <w:p w14:paraId="7E22E2D3" w14:textId="77777777" w:rsidR="001569CA" w:rsidRPr="002143BE" w:rsidRDefault="001569CA" w:rsidP="001569CA">
            <w:pPr>
              <w:pStyle w:val="ListParagraph"/>
              <w:numPr>
                <w:ilvl w:val="0"/>
                <w:numId w:val="4"/>
              </w:numPr>
              <w:spacing w:line="252" w:lineRule="auto"/>
              <w:rPr>
                <w:rFonts w:ascii="Calibri" w:hAnsi="Calibri" w:cs="Calibri"/>
                <w:bCs/>
                <w:color w:val="000000" w:themeColor="text1"/>
              </w:rPr>
            </w:pPr>
            <w:r w:rsidRPr="002143BE">
              <w:rPr>
                <w:rFonts w:ascii="Calibri" w:hAnsi="Calibri" w:cs="Calibri"/>
                <w:bCs/>
                <w:color w:val="000000" w:themeColor="text1"/>
              </w:rPr>
              <w:t>Reading 2: “Hunting and Masculinity in Imperial Africa”</w:t>
            </w:r>
          </w:p>
          <w:p w14:paraId="1B64C6F2" w14:textId="704A9059" w:rsidR="001569CA" w:rsidRPr="002143BE" w:rsidRDefault="001569CA" w:rsidP="001569CA">
            <w:pPr>
              <w:pStyle w:val="ListParagraph"/>
              <w:numPr>
                <w:ilvl w:val="0"/>
                <w:numId w:val="4"/>
              </w:numPr>
              <w:spacing w:line="252" w:lineRule="auto"/>
              <w:rPr>
                <w:rFonts w:ascii="Calibri" w:hAnsi="Calibri" w:cs="Calibri"/>
                <w:bCs/>
                <w:i/>
                <w:i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 xml:space="preserve">ource 1: “The White Man’s Burden” </w:t>
            </w:r>
          </w:p>
          <w:p w14:paraId="0430E2FF" w14:textId="665164CB" w:rsidR="001569CA" w:rsidRPr="002143BE" w:rsidRDefault="001569CA" w:rsidP="001569CA">
            <w:pPr>
              <w:pStyle w:val="ListParagraph"/>
              <w:numPr>
                <w:ilvl w:val="0"/>
                <w:numId w:val="4"/>
              </w:numPr>
              <w:spacing w:line="252" w:lineRule="auto"/>
              <w:rPr>
                <w:rFonts w:ascii="Calibri" w:eastAsiaTheme="minorEastAsia" w:hAnsi="Calibri" w:cs="Calibri"/>
                <w:bCs/>
                <w:color w:val="000000" w:themeColor="text1"/>
              </w:rPr>
            </w:pPr>
            <w:r w:rsidRPr="002143BE">
              <w:rPr>
                <w:rFonts w:ascii="Calibri" w:eastAsiaTheme="minorEastAsia" w:hAnsi="Calibri" w:cs="Calibri"/>
                <w:bCs/>
                <w:color w:val="000000" w:themeColor="text1"/>
              </w:rPr>
              <w:t xml:space="preserve">Primary </w:t>
            </w:r>
            <w:r w:rsidR="002143BE">
              <w:rPr>
                <w:rFonts w:ascii="Calibri" w:eastAsiaTheme="minorEastAsia" w:hAnsi="Calibri" w:cs="Calibri"/>
                <w:bCs/>
                <w:color w:val="000000" w:themeColor="text1"/>
              </w:rPr>
              <w:t>S</w:t>
            </w:r>
            <w:r w:rsidRPr="002143BE">
              <w:rPr>
                <w:rFonts w:ascii="Calibri" w:eastAsiaTheme="minorEastAsia" w:hAnsi="Calibri" w:cs="Calibri"/>
                <w:bCs/>
                <w:color w:val="000000" w:themeColor="text1"/>
              </w:rPr>
              <w:t xml:space="preserve">ource 2: excerpt from </w:t>
            </w:r>
            <w:r w:rsidRPr="002143BE">
              <w:rPr>
                <w:rFonts w:ascii="Calibri" w:eastAsiaTheme="minorEastAsia" w:hAnsi="Calibri" w:cs="Calibri"/>
                <w:bCs/>
                <w:i/>
                <w:iCs/>
                <w:color w:val="000000" w:themeColor="text1"/>
              </w:rPr>
              <w:t>The Man-Eaters of Tsavo</w:t>
            </w:r>
            <w:r w:rsidRPr="002143BE">
              <w:rPr>
                <w:rFonts w:ascii="Calibri" w:eastAsiaTheme="minorEastAsia" w:hAnsi="Calibri" w:cs="Calibri"/>
                <w:bCs/>
                <w:color w:val="000000" w:themeColor="text1"/>
              </w:rPr>
              <w:t xml:space="preserve"> </w:t>
            </w:r>
          </w:p>
        </w:tc>
        <w:tc>
          <w:tcPr>
            <w:tcW w:w="3600" w:type="dxa"/>
          </w:tcPr>
          <w:p w14:paraId="62810323" w14:textId="77777777" w:rsidR="001569CA" w:rsidRPr="002143BE" w:rsidRDefault="001569CA" w:rsidP="001569CA">
            <w:pPr>
              <w:pStyle w:val="ListParagraph"/>
              <w:numPr>
                <w:ilvl w:val="0"/>
                <w:numId w:val="4"/>
              </w:numPr>
              <w:spacing w:line="252" w:lineRule="auto"/>
              <w:rPr>
                <w:rFonts w:ascii="Calibri" w:hAnsi="Calibri" w:cs="Calibri"/>
                <w:b/>
                <w:color w:val="000000" w:themeColor="text1"/>
              </w:rPr>
            </w:pPr>
            <w:r w:rsidRPr="002143BE">
              <w:rPr>
                <w:rFonts w:ascii="Calibri" w:hAnsi="Calibri" w:cs="Calibri"/>
                <w:bCs/>
                <w:color w:val="000000" w:themeColor="text1"/>
              </w:rPr>
              <w:t>Primary source analysis: “The White Man’s Burden”</w:t>
            </w:r>
          </w:p>
          <w:p w14:paraId="0A623FE4" w14:textId="77777777" w:rsidR="001569CA" w:rsidRPr="002143BE" w:rsidRDefault="001569CA" w:rsidP="001569CA">
            <w:pPr>
              <w:pStyle w:val="ListParagraph"/>
              <w:numPr>
                <w:ilvl w:val="0"/>
                <w:numId w:val="4"/>
              </w:numPr>
              <w:spacing w:line="252" w:lineRule="auto"/>
              <w:rPr>
                <w:rFonts w:ascii="Calibri" w:eastAsiaTheme="minorEastAsia" w:hAnsi="Calibri" w:cs="Calibri"/>
                <w:b/>
                <w:color w:val="000000" w:themeColor="text1"/>
              </w:rPr>
            </w:pPr>
            <w:r w:rsidRPr="002143BE">
              <w:rPr>
                <w:rFonts w:ascii="Calibri" w:eastAsiaTheme="minorEastAsia" w:hAnsi="Calibri" w:cs="Calibri"/>
                <w:bCs/>
                <w:color w:val="000000" w:themeColor="text1"/>
              </w:rPr>
              <w:t xml:space="preserve">Reading </w:t>
            </w:r>
            <w:r w:rsidRPr="002143BE">
              <w:rPr>
                <w:rFonts w:ascii="Calibri" w:eastAsiaTheme="minorEastAsia" w:hAnsi="Calibri" w:cs="Calibri"/>
                <w:bCs/>
                <w:i/>
                <w:iCs/>
                <w:color w:val="000000" w:themeColor="text1"/>
              </w:rPr>
              <w:t>The Man-Eaters of Tsavo</w:t>
            </w:r>
            <w:r w:rsidRPr="002143BE">
              <w:rPr>
                <w:rFonts w:ascii="Calibri" w:eastAsiaTheme="minorEastAsia" w:hAnsi="Calibri" w:cs="Calibri"/>
                <w:bCs/>
                <w:color w:val="000000" w:themeColor="text1"/>
              </w:rPr>
              <w:t xml:space="preserve"> with and against the grain</w:t>
            </w:r>
          </w:p>
        </w:tc>
      </w:tr>
      <w:tr w:rsidR="001569CA" w:rsidRPr="002143BE" w14:paraId="77A4FEA8" w14:textId="77777777" w:rsidTr="00AB74E3">
        <w:tc>
          <w:tcPr>
            <w:tcW w:w="2155" w:type="dxa"/>
          </w:tcPr>
          <w:p w14:paraId="22EFE588"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Lesson 3: Clearing the Way for National Parks in the United States</w:t>
            </w:r>
          </w:p>
        </w:tc>
        <w:tc>
          <w:tcPr>
            <w:tcW w:w="3690" w:type="dxa"/>
          </w:tcPr>
          <w:p w14:paraId="684565A6" w14:textId="77777777" w:rsidR="001569CA" w:rsidRPr="002143BE" w:rsidRDefault="001569CA" w:rsidP="001569CA">
            <w:pPr>
              <w:pStyle w:val="ListParagraph"/>
              <w:numPr>
                <w:ilvl w:val="0"/>
                <w:numId w:val="5"/>
              </w:numPr>
              <w:spacing w:line="252" w:lineRule="auto"/>
              <w:rPr>
                <w:rFonts w:ascii="Calibri" w:hAnsi="Calibri" w:cs="Calibri"/>
                <w:bCs/>
                <w:color w:val="000000" w:themeColor="text1"/>
              </w:rPr>
            </w:pPr>
            <w:r w:rsidRPr="002143BE">
              <w:rPr>
                <w:rFonts w:ascii="Calibri" w:hAnsi="Calibri" w:cs="Calibri"/>
                <w:bCs/>
                <w:color w:val="000000" w:themeColor="text1"/>
              </w:rPr>
              <w:t>Reading 3: “Clearing the Way for National Parks in the United States”</w:t>
            </w:r>
          </w:p>
          <w:p w14:paraId="495989F0" w14:textId="23C12EB5" w:rsidR="001569CA" w:rsidRPr="002143BE" w:rsidRDefault="001569CA" w:rsidP="001569CA">
            <w:pPr>
              <w:pStyle w:val="ListParagraph"/>
              <w:numPr>
                <w:ilvl w:val="0"/>
                <w:numId w:val="5"/>
              </w:numPr>
              <w:spacing w:line="252" w:lineRule="auto"/>
              <w:rPr>
                <w:rFonts w:ascii="Calibri" w:hAnsi="Calibri" w:cs="Calibri"/>
                <w:b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 xml:space="preserve">ource 3: </w:t>
            </w:r>
            <w:r w:rsidRPr="002143BE">
              <w:rPr>
                <w:rFonts w:ascii="Calibri" w:hAnsi="Calibri" w:cs="Calibri"/>
                <w:bCs/>
                <w:i/>
                <w:iCs/>
                <w:color w:val="000000" w:themeColor="text1"/>
              </w:rPr>
              <w:t>Notes and Letters</w:t>
            </w:r>
            <w:r w:rsidRPr="002143BE">
              <w:rPr>
                <w:rFonts w:ascii="Calibri" w:hAnsi="Calibri" w:cs="Calibri"/>
                <w:bCs/>
                <w:color w:val="000000" w:themeColor="text1"/>
              </w:rPr>
              <w:t xml:space="preserve"> by George Catlin</w:t>
            </w:r>
          </w:p>
          <w:p w14:paraId="0B0DA6F7" w14:textId="771EEDB6" w:rsidR="001569CA" w:rsidRPr="002143BE" w:rsidRDefault="001569CA" w:rsidP="001569CA">
            <w:pPr>
              <w:pStyle w:val="ListParagraph"/>
              <w:numPr>
                <w:ilvl w:val="0"/>
                <w:numId w:val="5"/>
              </w:numPr>
              <w:spacing w:line="252" w:lineRule="auto"/>
              <w:rPr>
                <w:rFonts w:ascii="Calibri" w:hAnsi="Calibri" w:cs="Calibri"/>
                <w:b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ource 4: selected paintings by George Catlin</w:t>
            </w:r>
          </w:p>
        </w:tc>
        <w:tc>
          <w:tcPr>
            <w:tcW w:w="3600" w:type="dxa"/>
          </w:tcPr>
          <w:p w14:paraId="25CAFEFD" w14:textId="77777777" w:rsidR="001569CA" w:rsidRPr="002143BE" w:rsidRDefault="001569CA" w:rsidP="001569CA">
            <w:pPr>
              <w:pStyle w:val="ListParagraph"/>
              <w:numPr>
                <w:ilvl w:val="0"/>
                <w:numId w:val="5"/>
              </w:numPr>
              <w:spacing w:line="252" w:lineRule="auto"/>
              <w:rPr>
                <w:rFonts w:ascii="Calibri" w:eastAsiaTheme="minorEastAsia" w:hAnsi="Calibri" w:cs="Calibri"/>
                <w:b/>
                <w:color w:val="000000" w:themeColor="text1"/>
              </w:rPr>
            </w:pPr>
            <w:r w:rsidRPr="002143BE">
              <w:rPr>
                <w:rFonts w:ascii="Calibri" w:eastAsiaTheme="minorEastAsia" w:hAnsi="Calibri" w:cs="Calibri"/>
                <w:bCs/>
                <w:color w:val="000000" w:themeColor="text1"/>
              </w:rPr>
              <w:t>Learning natural and cultural history from Catlin’s work</w:t>
            </w:r>
          </w:p>
        </w:tc>
      </w:tr>
      <w:tr w:rsidR="001569CA" w:rsidRPr="002143BE" w14:paraId="68DF93DF" w14:textId="77777777" w:rsidTr="00AB74E3">
        <w:tc>
          <w:tcPr>
            <w:tcW w:w="2155" w:type="dxa"/>
          </w:tcPr>
          <w:p w14:paraId="0FCA6F91"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Lesson 4: The Human Experience of National Parks in India</w:t>
            </w:r>
          </w:p>
        </w:tc>
        <w:tc>
          <w:tcPr>
            <w:tcW w:w="3690" w:type="dxa"/>
          </w:tcPr>
          <w:p w14:paraId="6426BCF4" w14:textId="77777777" w:rsidR="001569CA" w:rsidRPr="002143BE" w:rsidRDefault="001569CA" w:rsidP="001569CA">
            <w:pPr>
              <w:pStyle w:val="ListParagraph"/>
              <w:numPr>
                <w:ilvl w:val="0"/>
                <w:numId w:val="6"/>
              </w:numPr>
              <w:spacing w:line="252" w:lineRule="auto"/>
              <w:rPr>
                <w:rFonts w:ascii="Calibri" w:hAnsi="Calibri" w:cs="Calibri"/>
                <w:bCs/>
                <w:color w:val="000000" w:themeColor="text1"/>
              </w:rPr>
            </w:pPr>
            <w:r w:rsidRPr="002143BE">
              <w:rPr>
                <w:rFonts w:ascii="Calibri" w:hAnsi="Calibri" w:cs="Calibri"/>
                <w:bCs/>
                <w:color w:val="000000" w:themeColor="text1"/>
              </w:rPr>
              <w:t>Reading 4: “The Human Experience of Wildlife in India”</w:t>
            </w:r>
          </w:p>
          <w:p w14:paraId="3D2BCE15" w14:textId="405F9805" w:rsidR="001569CA" w:rsidRPr="002143BE" w:rsidRDefault="001569CA" w:rsidP="001569CA">
            <w:pPr>
              <w:pStyle w:val="ListParagraph"/>
              <w:numPr>
                <w:ilvl w:val="0"/>
                <w:numId w:val="6"/>
              </w:numPr>
              <w:spacing w:line="252" w:lineRule="auto"/>
              <w:rPr>
                <w:rFonts w:ascii="Calibri" w:hAnsi="Calibri" w:cs="Calibri"/>
                <w:bCs/>
                <w:color w:val="000000" w:themeColor="text1"/>
              </w:rPr>
            </w:pPr>
            <w:r w:rsidRPr="002143BE">
              <w:rPr>
                <w:rFonts w:ascii="Calibri" w:hAnsi="Calibri" w:cs="Calibri"/>
                <w:bCs/>
                <w:color w:val="000000" w:themeColor="text1"/>
              </w:rPr>
              <w:t xml:space="preserve">Primary </w:t>
            </w:r>
            <w:r w:rsidR="002143BE">
              <w:rPr>
                <w:rFonts w:ascii="Calibri" w:hAnsi="Calibri" w:cs="Calibri"/>
                <w:bCs/>
                <w:color w:val="000000" w:themeColor="text1"/>
              </w:rPr>
              <w:t>S</w:t>
            </w:r>
            <w:r w:rsidRPr="002143BE">
              <w:rPr>
                <w:rFonts w:ascii="Calibri" w:hAnsi="Calibri" w:cs="Calibri"/>
                <w:bCs/>
                <w:color w:val="000000" w:themeColor="text1"/>
              </w:rPr>
              <w:t xml:space="preserve">ource 5: </w:t>
            </w:r>
            <w:r w:rsidRPr="002143BE">
              <w:rPr>
                <w:rFonts w:ascii="Calibri" w:hAnsi="Calibri" w:cs="Calibri"/>
                <w:bCs/>
                <w:i/>
                <w:iCs/>
                <w:color w:val="000000" w:themeColor="text1"/>
              </w:rPr>
              <w:t>My India</w:t>
            </w:r>
            <w:r w:rsidRPr="002143BE">
              <w:rPr>
                <w:rFonts w:ascii="Calibri" w:hAnsi="Calibri" w:cs="Calibri"/>
                <w:bCs/>
                <w:color w:val="000000" w:themeColor="text1"/>
              </w:rPr>
              <w:t xml:space="preserve"> by Jim Corbett</w:t>
            </w:r>
          </w:p>
        </w:tc>
        <w:tc>
          <w:tcPr>
            <w:tcW w:w="3600" w:type="dxa"/>
          </w:tcPr>
          <w:p w14:paraId="548DD59E" w14:textId="77777777" w:rsidR="001569CA" w:rsidRPr="002143BE" w:rsidRDefault="001569CA" w:rsidP="001569CA">
            <w:pPr>
              <w:pStyle w:val="ListParagraph"/>
              <w:numPr>
                <w:ilvl w:val="0"/>
                <w:numId w:val="6"/>
              </w:numPr>
              <w:spacing w:line="252" w:lineRule="auto"/>
              <w:rPr>
                <w:rFonts w:ascii="Calibri" w:hAnsi="Calibri" w:cs="Calibri"/>
                <w:b/>
                <w:color w:val="000000" w:themeColor="text1"/>
              </w:rPr>
            </w:pPr>
            <w:r w:rsidRPr="002143BE">
              <w:rPr>
                <w:rFonts w:ascii="Calibri" w:hAnsi="Calibri" w:cs="Calibri"/>
                <w:bCs/>
                <w:color w:val="000000" w:themeColor="text1"/>
              </w:rPr>
              <w:t xml:space="preserve">Telling </w:t>
            </w:r>
            <w:proofErr w:type="spellStart"/>
            <w:r w:rsidRPr="002143BE">
              <w:rPr>
                <w:rFonts w:ascii="Calibri" w:hAnsi="Calibri" w:cs="Calibri"/>
                <w:bCs/>
                <w:color w:val="000000" w:themeColor="text1"/>
              </w:rPr>
              <w:t>Mothi’s</w:t>
            </w:r>
            <w:proofErr w:type="spellEnd"/>
            <w:r w:rsidRPr="002143BE">
              <w:rPr>
                <w:rFonts w:ascii="Calibri" w:hAnsi="Calibri" w:cs="Calibri"/>
                <w:bCs/>
                <w:color w:val="000000" w:themeColor="text1"/>
              </w:rPr>
              <w:t xml:space="preserve"> tale through </w:t>
            </w:r>
            <w:r w:rsidRPr="002143BE">
              <w:rPr>
                <w:rFonts w:ascii="Calibri" w:hAnsi="Calibri" w:cs="Calibri"/>
                <w:bCs/>
                <w:i/>
                <w:iCs/>
                <w:color w:val="000000" w:themeColor="text1"/>
              </w:rPr>
              <w:t>My India</w:t>
            </w:r>
          </w:p>
          <w:p w14:paraId="6048EE01" w14:textId="77777777" w:rsidR="001569CA" w:rsidRPr="002143BE" w:rsidRDefault="001569CA" w:rsidP="001569CA">
            <w:pPr>
              <w:pStyle w:val="ListParagraph"/>
              <w:numPr>
                <w:ilvl w:val="0"/>
                <w:numId w:val="6"/>
              </w:numPr>
              <w:spacing w:line="252" w:lineRule="auto"/>
              <w:rPr>
                <w:rFonts w:ascii="Calibri" w:eastAsiaTheme="minorEastAsia" w:hAnsi="Calibri" w:cs="Calibri"/>
                <w:b/>
                <w:color w:val="000000" w:themeColor="text1"/>
              </w:rPr>
            </w:pPr>
            <w:r w:rsidRPr="002143BE">
              <w:rPr>
                <w:rFonts w:ascii="Calibri" w:eastAsiaTheme="minorEastAsia" w:hAnsi="Calibri" w:cs="Calibri"/>
                <w:bCs/>
                <w:color w:val="000000" w:themeColor="text1"/>
              </w:rPr>
              <w:t>Review of major ideas and themes in an Indian context</w:t>
            </w:r>
          </w:p>
        </w:tc>
      </w:tr>
      <w:tr w:rsidR="001569CA" w:rsidRPr="002143BE" w14:paraId="289FE146" w14:textId="77777777" w:rsidTr="00AB74E3">
        <w:tc>
          <w:tcPr>
            <w:tcW w:w="2155" w:type="dxa"/>
          </w:tcPr>
          <w:p w14:paraId="6438C759" w14:textId="77777777" w:rsidR="001569CA" w:rsidRPr="002143BE" w:rsidRDefault="001569CA" w:rsidP="00AB74E3">
            <w:pPr>
              <w:spacing w:line="252" w:lineRule="auto"/>
              <w:rPr>
                <w:rFonts w:ascii="Calibri" w:hAnsi="Calibri" w:cs="Calibri"/>
                <w:b/>
                <w:color w:val="000000" w:themeColor="text1"/>
              </w:rPr>
            </w:pPr>
            <w:r w:rsidRPr="002143BE">
              <w:rPr>
                <w:rFonts w:ascii="Calibri" w:hAnsi="Calibri" w:cs="Calibri"/>
                <w:b/>
                <w:color w:val="000000" w:themeColor="text1"/>
              </w:rPr>
              <w:t>Conclusion</w:t>
            </w:r>
          </w:p>
        </w:tc>
        <w:tc>
          <w:tcPr>
            <w:tcW w:w="3690" w:type="dxa"/>
          </w:tcPr>
          <w:p w14:paraId="71448C67" w14:textId="77777777" w:rsidR="001569CA" w:rsidRPr="002143BE" w:rsidRDefault="001569CA" w:rsidP="001569CA">
            <w:pPr>
              <w:pStyle w:val="ListParagraph"/>
              <w:numPr>
                <w:ilvl w:val="0"/>
                <w:numId w:val="7"/>
              </w:numPr>
              <w:spacing w:line="252" w:lineRule="auto"/>
              <w:rPr>
                <w:rFonts w:ascii="Calibri" w:hAnsi="Calibri" w:cs="Calibri"/>
                <w:bCs/>
                <w:color w:val="000000" w:themeColor="text1"/>
              </w:rPr>
            </w:pPr>
            <w:r w:rsidRPr="002143BE">
              <w:rPr>
                <w:rFonts w:ascii="Calibri" w:hAnsi="Calibri" w:cs="Calibri"/>
                <w:bCs/>
                <w:color w:val="000000" w:themeColor="text1"/>
              </w:rPr>
              <w:t>Reading 5: “Elite Hunting in the 21</w:t>
            </w:r>
            <w:r w:rsidRPr="002143BE">
              <w:rPr>
                <w:rFonts w:ascii="Calibri" w:hAnsi="Calibri" w:cs="Calibri"/>
                <w:bCs/>
                <w:color w:val="000000" w:themeColor="text1"/>
                <w:vertAlign w:val="superscript"/>
              </w:rPr>
              <w:t>st</w:t>
            </w:r>
            <w:r w:rsidRPr="002143BE">
              <w:rPr>
                <w:rFonts w:ascii="Calibri" w:hAnsi="Calibri" w:cs="Calibri"/>
                <w:bCs/>
                <w:color w:val="000000" w:themeColor="text1"/>
              </w:rPr>
              <w:t xml:space="preserve"> Century: Conservation or Destruction?”</w:t>
            </w:r>
          </w:p>
        </w:tc>
        <w:tc>
          <w:tcPr>
            <w:tcW w:w="3600" w:type="dxa"/>
          </w:tcPr>
          <w:p w14:paraId="6DCB3AE9" w14:textId="24C0B29C" w:rsidR="001569CA" w:rsidRPr="002143BE" w:rsidRDefault="001569CA" w:rsidP="001569CA">
            <w:pPr>
              <w:pStyle w:val="ListParagraph"/>
              <w:numPr>
                <w:ilvl w:val="0"/>
                <w:numId w:val="7"/>
              </w:numPr>
              <w:spacing w:line="252" w:lineRule="auto"/>
              <w:rPr>
                <w:rFonts w:ascii="Calibri" w:eastAsiaTheme="minorEastAsia" w:hAnsi="Calibri" w:cs="Calibri"/>
                <w:b/>
                <w:color w:val="000000" w:themeColor="text1"/>
              </w:rPr>
            </w:pPr>
            <w:r w:rsidRPr="002143BE">
              <w:rPr>
                <w:rFonts w:ascii="Calibri" w:eastAsiaTheme="minorEastAsia" w:hAnsi="Calibri" w:cs="Calibri"/>
                <w:bCs/>
                <w:color w:val="000000" w:themeColor="text1"/>
              </w:rPr>
              <w:t>Debating the role of deer and trophy hunting in the 21</w:t>
            </w:r>
            <w:r w:rsidRPr="002143BE">
              <w:rPr>
                <w:rFonts w:ascii="Calibri" w:eastAsiaTheme="minorEastAsia" w:hAnsi="Calibri" w:cs="Calibri"/>
                <w:bCs/>
                <w:color w:val="000000" w:themeColor="text1"/>
                <w:vertAlign w:val="superscript"/>
              </w:rPr>
              <w:t>st</w:t>
            </w:r>
            <w:r w:rsidRPr="002143BE">
              <w:rPr>
                <w:rFonts w:ascii="Calibri" w:eastAsiaTheme="minorEastAsia" w:hAnsi="Calibri" w:cs="Calibri"/>
                <w:bCs/>
                <w:color w:val="000000" w:themeColor="text1"/>
              </w:rPr>
              <w:t xml:space="preserve"> century</w:t>
            </w:r>
          </w:p>
        </w:tc>
      </w:tr>
    </w:tbl>
    <w:p w14:paraId="1892122C" w14:textId="77777777" w:rsidR="001569CA" w:rsidRPr="002143BE" w:rsidRDefault="001569CA" w:rsidP="001569CA">
      <w:pPr>
        <w:pStyle w:val="Style1"/>
        <w:rPr>
          <w:rFonts w:ascii="Calibri" w:hAnsi="Calibri" w:cs="Calibri"/>
          <w:sz w:val="24"/>
          <w:szCs w:val="24"/>
        </w:rPr>
      </w:pPr>
    </w:p>
    <w:p w14:paraId="36CFF05C" w14:textId="77777777" w:rsidR="001569CA" w:rsidRPr="002143BE" w:rsidRDefault="001569CA" w:rsidP="001569CA">
      <w:pPr>
        <w:pStyle w:val="Style1"/>
        <w:rPr>
          <w:rFonts w:ascii="Calibri" w:hAnsi="Calibri" w:cs="Calibri"/>
          <w:b/>
          <w:bCs/>
          <w:sz w:val="24"/>
          <w:szCs w:val="24"/>
        </w:rPr>
      </w:pPr>
    </w:p>
    <w:p w14:paraId="6244D31C" w14:textId="77777777" w:rsidR="001569CA" w:rsidRPr="002143BE" w:rsidRDefault="001569CA" w:rsidP="001569CA">
      <w:pPr>
        <w:pStyle w:val="Style1"/>
        <w:rPr>
          <w:rFonts w:ascii="Calibri" w:hAnsi="Calibri" w:cs="Calibri"/>
          <w:b/>
          <w:bCs/>
          <w:sz w:val="24"/>
          <w:szCs w:val="24"/>
        </w:rPr>
      </w:pPr>
    </w:p>
    <w:p w14:paraId="0563C346" w14:textId="77777777" w:rsidR="001569CA" w:rsidRPr="002143BE" w:rsidRDefault="001569CA" w:rsidP="001569CA">
      <w:pPr>
        <w:pStyle w:val="Style1"/>
        <w:rPr>
          <w:rFonts w:ascii="Calibri" w:hAnsi="Calibri" w:cs="Calibri"/>
          <w:sz w:val="24"/>
          <w:szCs w:val="24"/>
        </w:rPr>
      </w:pPr>
    </w:p>
    <w:p w14:paraId="3EC510B2" w14:textId="77777777" w:rsidR="00A97453" w:rsidRPr="002143BE" w:rsidRDefault="00000000" w:rsidP="001569CA">
      <w:pPr>
        <w:pStyle w:val="Style1"/>
        <w:rPr>
          <w:rFonts w:ascii="Calibri" w:hAnsi="Calibri" w:cs="Calibri"/>
          <w:sz w:val="24"/>
          <w:szCs w:val="24"/>
        </w:rPr>
      </w:pPr>
    </w:p>
    <w:sectPr w:rsidR="00A97453" w:rsidRPr="002143B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21E0" w14:textId="77777777" w:rsidR="002D2100" w:rsidRDefault="002D2100" w:rsidP="001569CA">
      <w:r>
        <w:separator/>
      </w:r>
    </w:p>
  </w:endnote>
  <w:endnote w:type="continuationSeparator" w:id="0">
    <w:p w14:paraId="53139527" w14:textId="77777777" w:rsidR="002D2100" w:rsidRDefault="002D2100" w:rsidP="001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792868"/>
      <w:docPartObj>
        <w:docPartGallery w:val="Page Numbers (Bottom of Page)"/>
        <w:docPartUnique/>
      </w:docPartObj>
    </w:sdtPr>
    <w:sdtContent>
      <w:p w14:paraId="28076614" w14:textId="47C473D0" w:rsidR="001569CA" w:rsidRDefault="001569CA" w:rsidP="006D3E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143BE">
          <w:rPr>
            <w:rStyle w:val="PageNumber"/>
          </w:rPr>
          <w:fldChar w:fldCharType="separate"/>
        </w:r>
        <w:r w:rsidR="002143BE">
          <w:rPr>
            <w:rStyle w:val="PageNumber"/>
            <w:noProof/>
          </w:rPr>
          <w:t>1</w:t>
        </w:r>
        <w:r>
          <w:rPr>
            <w:rStyle w:val="PageNumber"/>
          </w:rPr>
          <w:fldChar w:fldCharType="end"/>
        </w:r>
      </w:p>
    </w:sdtContent>
  </w:sdt>
  <w:p w14:paraId="58DCC1E5" w14:textId="77777777" w:rsidR="001569CA" w:rsidRDefault="001569CA" w:rsidP="00156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710620679"/>
      <w:docPartObj>
        <w:docPartGallery w:val="Page Numbers (Bottom of Page)"/>
        <w:docPartUnique/>
      </w:docPartObj>
    </w:sdtPr>
    <w:sdtContent>
      <w:p w14:paraId="41516C3A" w14:textId="02E2B293" w:rsidR="001569CA" w:rsidRPr="002143BE" w:rsidRDefault="001569CA" w:rsidP="006D3E38">
        <w:pPr>
          <w:pStyle w:val="Footer"/>
          <w:framePr w:wrap="none" w:vAnchor="text" w:hAnchor="margin" w:xAlign="right" w:y="1"/>
          <w:rPr>
            <w:rStyle w:val="PageNumber"/>
            <w:rFonts w:ascii="Calibri" w:hAnsi="Calibri" w:cs="Calibri"/>
          </w:rPr>
        </w:pPr>
        <w:r w:rsidRPr="002143BE">
          <w:rPr>
            <w:rStyle w:val="PageNumber"/>
            <w:rFonts w:ascii="Calibri" w:hAnsi="Calibri" w:cs="Calibri"/>
          </w:rPr>
          <w:fldChar w:fldCharType="begin"/>
        </w:r>
        <w:r w:rsidRPr="002143BE">
          <w:rPr>
            <w:rStyle w:val="PageNumber"/>
            <w:rFonts w:ascii="Calibri" w:hAnsi="Calibri" w:cs="Calibri"/>
          </w:rPr>
          <w:instrText xml:space="preserve"> PAGE </w:instrText>
        </w:r>
        <w:r w:rsidRPr="002143BE">
          <w:rPr>
            <w:rStyle w:val="PageNumber"/>
            <w:rFonts w:ascii="Calibri" w:hAnsi="Calibri" w:cs="Calibri"/>
          </w:rPr>
          <w:fldChar w:fldCharType="separate"/>
        </w:r>
        <w:r w:rsidRPr="002143BE">
          <w:rPr>
            <w:rStyle w:val="PageNumber"/>
            <w:rFonts w:ascii="Calibri" w:hAnsi="Calibri" w:cs="Calibri"/>
            <w:noProof/>
          </w:rPr>
          <w:t>1</w:t>
        </w:r>
        <w:r w:rsidRPr="002143BE">
          <w:rPr>
            <w:rStyle w:val="PageNumber"/>
            <w:rFonts w:ascii="Calibri" w:hAnsi="Calibri" w:cs="Calibri"/>
          </w:rPr>
          <w:fldChar w:fldCharType="end"/>
        </w:r>
      </w:p>
    </w:sdtContent>
  </w:sdt>
  <w:p w14:paraId="16B88EF8" w14:textId="77777777" w:rsidR="001569CA" w:rsidRPr="002143BE" w:rsidRDefault="001569CA" w:rsidP="001569C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2C4D" w14:textId="77777777" w:rsidR="002D2100" w:rsidRDefault="002D2100" w:rsidP="001569CA">
      <w:r>
        <w:separator/>
      </w:r>
    </w:p>
  </w:footnote>
  <w:footnote w:type="continuationSeparator" w:id="0">
    <w:p w14:paraId="684A8EA9" w14:textId="77777777" w:rsidR="002D2100" w:rsidRDefault="002D2100" w:rsidP="00156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C8E"/>
    <w:multiLevelType w:val="hybridMultilevel"/>
    <w:tmpl w:val="EA1E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FD2C05"/>
    <w:multiLevelType w:val="hybridMultilevel"/>
    <w:tmpl w:val="051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55B2C"/>
    <w:multiLevelType w:val="hybridMultilevel"/>
    <w:tmpl w:val="56C2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285A34"/>
    <w:multiLevelType w:val="hybridMultilevel"/>
    <w:tmpl w:val="74FC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B37481"/>
    <w:multiLevelType w:val="hybridMultilevel"/>
    <w:tmpl w:val="B248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857B9D"/>
    <w:multiLevelType w:val="hybridMultilevel"/>
    <w:tmpl w:val="05BA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E65D1"/>
    <w:multiLevelType w:val="hybridMultilevel"/>
    <w:tmpl w:val="BC00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8440497">
    <w:abstractNumId w:val="1"/>
  </w:num>
  <w:num w:numId="2" w16cid:durableId="1344433141">
    <w:abstractNumId w:val="6"/>
  </w:num>
  <w:num w:numId="3" w16cid:durableId="1607888166">
    <w:abstractNumId w:val="5"/>
  </w:num>
  <w:num w:numId="4" w16cid:durableId="740761304">
    <w:abstractNumId w:val="3"/>
  </w:num>
  <w:num w:numId="5" w16cid:durableId="152650223">
    <w:abstractNumId w:val="2"/>
  </w:num>
  <w:num w:numId="6" w16cid:durableId="585190271">
    <w:abstractNumId w:val="0"/>
  </w:num>
  <w:num w:numId="7" w16cid:durableId="243417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CA"/>
    <w:rsid w:val="001569CA"/>
    <w:rsid w:val="002143BE"/>
    <w:rsid w:val="00245F47"/>
    <w:rsid w:val="002D2100"/>
    <w:rsid w:val="00521DB9"/>
    <w:rsid w:val="00752943"/>
    <w:rsid w:val="007C1E39"/>
    <w:rsid w:val="0089743D"/>
    <w:rsid w:val="00BE1B55"/>
    <w:rsid w:val="00D057BD"/>
    <w:rsid w:val="00D3395C"/>
    <w:rsid w:val="00EA416F"/>
    <w:rsid w:val="00F2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9031E"/>
  <w15:chartTrackingRefBased/>
  <w15:docId w15:val="{808EEDE5-1937-814C-8947-C4FD6EF6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heme="minorHAnsi" w:hAnsi="Constantia"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E39"/>
  </w:style>
  <w:style w:type="paragraph" w:customStyle="1" w:styleId="Style1">
    <w:name w:val="Style1"/>
    <w:basedOn w:val="NoSpacing"/>
    <w:qFormat/>
    <w:rsid w:val="00D3395C"/>
    <w:rPr>
      <w:rFonts w:cs="Times New Roman (Body CS)"/>
      <w:szCs w:val="22"/>
    </w:rPr>
  </w:style>
  <w:style w:type="paragraph" w:customStyle="1" w:styleId="Footnotes">
    <w:name w:val="Footnotes"/>
    <w:basedOn w:val="Style1"/>
    <w:next w:val="FootnoteText"/>
    <w:autoRedefine/>
    <w:qFormat/>
    <w:rsid w:val="00EA416F"/>
    <w:pPr>
      <w:ind w:firstLine="720"/>
    </w:pPr>
    <w:rPr>
      <w:sz w:val="20"/>
    </w:rPr>
  </w:style>
  <w:style w:type="paragraph" w:styleId="FootnoteText">
    <w:name w:val="footnote text"/>
    <w:basedOn w:val="Normal"/>
    <w:link w:val="FootnoteTextChar"/>
    <w:autoRedefine/>
    <w:uiPriority w:val="99"/>
    <w:semiHidden/>
    <w:unhideWhenUsed/>
    <w:rsid w:val="00EA416F"/>
    <w:rPr>
      <w:sz w:val="20"/>
      <w:szCs w:val="20"/>
    </w:rPr>
  </w:style>
  <w:style w:type="character" w:customStyle="1" w:styleId="FootnoteTextChar">
    <w:name w:val="Footnote Text Char"/>
    <w:basedOn w:val="DefaultParagraphFont"/>
    <w:link w:val="FootnoteText"/>
    <w:uiPriority w:val="99"/>
    <w:semiHidden/>
    <w:rsid w:val="00EA416F"/>
    <w:rPr>
      <w:rFonts w:ascii="Constantia" w:hAnsi="Constantia"/>
      <w:sz w:val="20"/>
      <w:szCs w:val="20"/>
    </w:rPr>
  </w:style>
  <w:style w:type="table" w:styleId="TableGrid">
    <w:name w:val="Table Grid"/>
    <w:basedOn w:val="TableNormal"/>
    <w:uiPriority w:val="39"/>
    <w:rsid w:val="001569CA"/>
    <w:rPr>
      <w:rFonts w:asciiTheme="minorHAnsi" w:eastAsiaTheme="minorEastAsia" w:hAnsiTheme="minorHAnsi" w:cstheme="minorBidi"/>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9CA"/>
    <w:pPr>
      <w:ind w:left="720"/>
      <w:contextualSpacing/>
    </w:pPr>
    <w:rPr>
      <w:rFonts w:ascii="Times New Roman" w:eastAsia="Times New Roman" w:hAnsi="Times New Roman"/>
      <w:sz w:val="24"/>
      <w:lang w:eastAsia="zh-CN"/>
    </w:rPr>
  </w:style>
  <w:style w:type="paragraph" w:styleId="Footer">
    <w:name w:val="footer"/>
    <w:basedOn w:val="Normal"/>
    <w:link w:val="FooterChar"/>
    <w:uiPriority w:val="99"/>
    <w:unhideWhenUsed/>
    <w:rsid w:val="001569CA"/>
    <w:pPr>
      <w:tabs>
        <w:tab w:val="center" w:pos="4680"/>
        <w:tab w:val="right" w:pos="9360"/>
      </w:tabs>
    </w:pPr>
  </w:style>
  <w:style w:type="character" w:customStyle="1" w:styleId="FooterChar">
    <w:name w:val="Footer Char"/>
    <w:basedOn w:val="DefaultParagraphFont"/>
    <w:link w:val="Footer"/>
    <w:uiPriority w:val="99"/>
    <w:rsid w:val="001569CA"/>
  </w:style>
  <w:style w:type="character" w:styleId="PageNumber">
    <w:name w:val="page number"/>
    <w:basedOn w:val="DefaultParagraphFont"/>
    <w:uiPriority w:val="99"/>
    <w:semiHidden/>
    <w:unhideWhenUsed/>
    <w:rsid w:val="001569CA"/>
  </w:style>
  <w:style w:type="paragraph" w:styleId="Header">
    <w:name w:val="header"/>
    <w:basedOn w:val="Normal"/>
    <w:link w:val="HeaderChar"/>
    <w:uiPriority w:val="99"/>
    <w:unhideWhenUsed/>
    <w:rsid w:val="002143BE"/>
    <w:pPr>
      <w:tabs>
        <w:tab w:val="center" w:pos="4680"/>
        <w:tab w:val="right" w:pos="9360"/>
      </w:tabs>
    </w:pPr>
  </w:style>
  <w:style w:type="character" w:customStyle="1" w:styleId="HeaderChar">
    <w:name w:val="Header Char"/>
    <w:basedOn w:val="DefaultParagraphFont"/>
    <w:link w:val="Header"/>
    <w:uiPriority w:val="99"/>
    <w:rsid w:val="0021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Mukherjee</dc:creator>
  <cp:keywords/>
  <dc:description/>
  <cp:lastModifiedBy>Miller, Brenna C</cp:lastModifiedBy>
  <cp:revision>2</cp:revision>
  <dcterms:created xsi:type="dcterms:W3CDTF">2022-10-04T03:59:00Z</dcterms:created>
  <dcterms:modified xsi:type="dcterms:W3CDTF">2023-03-27T18:24:00Z</dcterms:modified>
</cp:coreProperties>
</file>