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B4C4" w14:textId="77777777" w:rsidR="008039A9" w:rsidRPr="0011530D" w:rsidRDefault="008039A9" w:rsidP="008039A9">
      <w:pPr>
        <w:pBdr>
          <w:bottom w:val="single" w:sz="4" w:space="1" w:color="auto"/>
        </w:pBdr>
        <w:jc w:val="center"/>
        <w:rPr>
          <w:rFonts w:ascii="Avenir Next LT Pro" w:hAnsi="Avenir Next LT Pro"/>
          <w:b/>
          <w:bCs/>
          <w:sz w:val="40"/>
          <w:szCs w:val="40"/>
        </w:rPr>
      </w:pPr>
      <w:r w:rsidRPr="0011530D">
        <w:rPr>
          <w:rFonts w:ascii="Avenir Next LT Pro" w:hAnsi="Avenir Next LT Pro"/>
          <w:b/>
          <w:bCs/>
          <w:sz w:val="40"/>
          <w:szCs w:val="40"/>
        </w:rPr>
        <w:t xml:space="preserve">The Global 1905: </w:t>
      </w:r>
    </w:p>
    <w:p w14:paraId="029073F7" w14:textId="1FB85738" w:rsidR="008039A9" w:rsidRPr="0011530D" w:rsidRDefault="008039A9" w:rsidP="008039A9">
      <w:pPr>
        <w:pBdr>
          <w:bottom w:val="single" w:sz="4" w:space="1" w:color="auto"/>
        </w:pBdr>
        <w:jc w:val="center"/>
        <w:rPr>
          <w:rFonts w:ascii="Avenir Next LT Pro" w:hAnsi="Avenir Next LT Pro"/>
          <w:b/>
          <w:bCs/>
          <w:sz w:val="40"/>
          <w:szCs w:val="40"/>
        </w:rPr>
      </w:pPr>
      <w:r w:rsidRPr="0011530D">
        <w:rPr>
          <w:rFonts w:ascii="Avenir Next LT Pro" w:hAnsi="Avenir Next LT Pro"/>
          <w:b/>
          <w:bCs/>
          <w:sz w:val="40"/>
          <w:szCs w:val="40"/>
        </w:rPr>
        <w:t>Facets of a Year; Facets of an Era</w:t>
      </w:r>
    </w:p>
    <w:p w14:paraId="7ABD6D92" w14:textId="38F6AD6D" w:rsidR="008039A9" w:rsidRPr="008C129D" w:rsidRDefault="008039A9" w:rsidP="008039A9">
      <w:pPr>
        <w:pBdr>
          <w:bottom w:val="single" w:sz="4" w:space="1" w:color="auto"/>
        </w:pBdr>
        <w:jc w:val="center"/>
        <w:rPr>
          <w:rFonts w:ascii="Avenir Next LT Pro" w:hAnsi="Avenir Next LT Pro"/>
          <w:sz w:val="32"/>
          <w:szCs w:val="32"/>
        </w:rPr>
      </w:pPr>
      <w:r w:rsidRPr="0011530D">
        <w:rPr>
          <w:rFonts w:ascii="Avenir Next LT Pro" w:hAnsi="Avenir Next LT Pro"/>
          <w:sz w:val="32"/>
          <w:szCs w:val="32"/>
        </w:rPr>
        <w:t>0.0 – Module Lesson Plan</w:t>
      </w:r>
    </w:p>
    <w:p w14:paraId="502165A3" w14:textId="77777777" w:rsidR="008039A9" w:rsidRPr="008F24DF" w:rsidRDefault="008039A9" w:rsidP="008039A9">
      <w:pPr>
        <w:pBdr>
          <w:bottom w:val="single" w:sz="4" w:space="1" w:color="auto"/>
        </w:pBdr>
        <w:jc w:val="center"/>
        <w:rPr>
          <w:rFonts w:ascii="Avenir Next LT Pro" w:hAnsi="Avenir Next LT Pro"/>
        </w:rPr>
      </w:pPr>
    </w:p>
    <w:p w14:paraId="0E91FBC2" w14:textId="77777777" w:rsidR="00D518AE" w:rsidRDefault="00D518AE" w:rsidP="00D518AE"/>
    <w:p w14:paraId="04B0F6CA" w14:textId="77777777" w:rsidR="008039A9" w:rsidRPr="00755058" w:rsidRDefault="008039A9" w:rsidP="008039A9">
      <w:pPr>
        <w:rPr>
          <w:rFonts w:ascii="Calibri" w:hAnsi="Calibri" w:cs="Calibri"/>
        </w:rPr>
      </w:pPr>
      <w:r w:rsidRPr="00755058">
        <w:rPr>
          <w:rFonts w:ascii="Calibri" w:hAnsi="Calibri" w:cs="Calibri"/>
        </w:rPr>
        <w:t>This module is part of the History for the 21</w:t>
      </w:r>
      <w:r w:rsidRPr="00755058">
        <w:rPr>
          <w:rFonts w:ascii="Calibri" w:hAnsi="Calibri" w:cs="Calibri"/>
          <w:vertAlign w:val="superscript"/>
        </w:rPr>
        <w:t>st</w:t>
      </w:r>
      <w:r w:rsidRPr="00755058">
        <w:rPr>
          <w:rFonts w:ascii="Calibri" w:hAnsi="Calibri" w:cs="Calibri"/>
        </w:rPr>
        <w:t xml:space="preserve"> Century project (H21). History for the 21</w:t>
      </w:r>
      <w:r w:rsidRPr="00755058">
        <w:rPr>
          <w:rFonts w:ascii="Calibri" w:hAnsi="Calibri" w:cs="Calibri"/>
          <w:vertAlign w:val="superscript"/>
        </w:rPr>
        <w:t>st</w:t>
      </w:r>
      <w:r w:rsidRPr="00755058">
        <w:rPr>
          <w:rFonts w:ascii="Calibri" w:hAnsi="Calibri" w:cs="Calibri"/>
        </w:rPr>
        <w:t xml:space="preserve"> </w:t>
      </w:r>
      <w:proofErr w:type="gramStart"/>
      <w:r w:rsidRPr="00755058">
        <w:rPr>
          <w:rFonts w:ascii="Calibri" w:hAnsi="Calibri" w:cs="Calibri"/>
        </w:rPr>
        <w:t>Century  is</w:t>
      </w:r>
      <w:proofErr w:type="gramEnd"/>
      <w:r w:rsidRPr="00755058">
        <w:rPr>
          <w:rFonts w:ascii="Calibri" w:hAnsi="Calibri" w:cs="Calibri"/>
        </w:rPr>
        <w:t xml:space="preserve"> a collaborative project designed to serve students in introductory college history courses and their instructors. Together, we build, assess, and progressively improve free, online educative, enquiry-based curriculum. You can find out more about H21 by visiting </w:t>
      </w:r>
      <w:hyperlink r:id="rId7" w:history="1">
        <w:r w:rsidRPr="00755058">
          <w:rPr>
            <w:rStyle w:val="Hyperlink"/>
            <w:rFonts w:ascii="Calibri" w:hAnsi="Calibri" w:cs="Calibri"/>
          </w:rPr>
          <w:t>https://www.history21.com/</w:t>
        </w:r>
      </w:hyperlink>
      <w:r w:rsidRPr="00755058">
        <w:rPr>
          <w:rFonts w:ascii="Calibri" w:hAnsi="Calibri" w:cs="Calibri"/>
        </w:rPr>
        <w:t xml:space="preserve"> .</w:t>
      </w:r>
    </w:p>
    <w:p w14:paraId="770A4815" w14:textId="77777777" w:rsidR="00A77794" w:rsidRPr="00755058" w:rsidRDefault="00A77794" w:rsidP="00D518AE">
      <w:pPr>
        <w:rPr>
          <w:rFonts w:ascii="Calibri" w:hAnsi="Calibri" w:cs="Calibri"/>
        </w:rPr>
      </w:pPr>
    </w:p>
    <w:p w14:paraId="67D81CB2" w14:textId="3CF70535" w:rsidR="008039A9" w:rsidRPr="00755058" w:rsidRDefault="008039A9" w:rsidP="00D518AE">
      <w:pPr>
        <w:rPr>
          <w:rFonts w:ascii="Calibri" w:hAnsi="Calibri" w:cs="Calibri"/>
          <w:b/>
          <w:bCs/>
        </w:rPr>
      </w:pPr>
      <w:r w:rsidRPr="00755058">
        <w:rPr>
          <w:rFonts w:ascii="Calibri" w:hAnsi="Calibri" w:cs="Calibri"/>
          <w:b/>
          <w:bCs/>
        </w:rPr>
        <w:t>Module Overview</w:t>
      </w:r>
    </w:p>
    <w:p w14:paraId="00E26532" w14:textId="77777777" w:rsidR="008039A9" w:rsidRPr="00755058" w:rsidRDefault="008039A9" w:rsidP="00D518AE">
      <w:pPr>
        <w:rPr>
          <w:rFonts w:ascii="Calibri" w:hAnsi="Calibri" w:cs="Calibri"/>
        </w:rPr>
      </w:pPr>
    </w:p>
    <w:p w14:paraId="7506FBE2" w14:textId="54D03F1D" w:rsidR="002F2A5F" w:rsidRPr="002B63FA" w:rsidRDefault="00A8199F" w:rsidP="00CF4417">
      <w:pPr>
        <w:rPr>
          <w:rFonts w:ascii="Calibri" w:hAnsi="Calibri" w:cs="Calibri"/>
        </w:rPr>
      </w:pPr>
      <w:r w:rsidRPr="00755058">
        <w:rPr>
          <w:rFonts w:ascii="Calibri" w:hAnsi="Calibri" w:cs="Calibri"/>
        </w:rPr>
        <w:t xml:space="preserve">How do we </w:t>
      </w:r>
      <w:r w:rsidR="00755058" w:rsidRPr="00755058">
        <w:rPr>
          <w:rFonts w:ascii="Calibri" w:hAnsi="Calibri" w:cs="Calibri"/>
        </w:rPr>
        <w:t xml:space="preserve">experience historical events, and how do we </w:t>
      </w:r>
      <w:r w:rsidRPr="00755058">
        <w:rPr>
          <w:rFonts w:ascii="Calibri" w:hAnsi="Calibri" w:cs="Calibri"/>
        </w:rPr>
        <w:t xml:space="preserve">decide what is important in history? </w:t>
      </w:r>
      <w:r w:rsidR="009D084A" w:rsidRPr="00755058">
        <w:rPr>
          <w:rFonts w:ascii="Calibri" w:hAnsi="Calibri" w:cs="Calibri"/>
        </w:rPr>
        <w:t>This module examines several</w:t>
      </w:r>
      <w:r w:rsidR="00D518AE" w:rsidRPr="00755058">
        <w:rPr>
          <w:rFonts w:ascii="Calibri" w:hAnsi="Calibri" w:cs="Calibri"/>
        </w:rPr>
        <w:t xml:space="preserve"> co-</w:t>
      </w:r>
      <w:proofErr w:type="gramStart"/>
      <w:r w:rsidR="00D518AE" w:rsidRPr="00755058">
        <w:rPr>
          <w:rFonts w:ascii="Calibri" w:hAnsi="Calibri" w:cs="Calibri"/>
        </w:rPr>
        <w:t>incident</w:t>
      </w:r>
      <w:proofErr w:type="gramEnd"/>
      <w:r w:rsidR="00D518AE" w:rsidRPr="00755058">
        <w:rPr>
          <w:rFonts w:ascii="Calibri" w:hAnsi="Calibri" w:cs="Calibri"/>
        </w:rPr>
        <w:t xml:space="preserve"> </w:t>
      </w:r>
      <w:r w:rsidR="002F2A5F" w:rsidRPr="00755058">
        <w:rPr>
          <w:rFonts w:ascii="Calibri" w:hAnsi="Calibri" w:cs="Calibri"/>
        </w:rPr>
        <w:t>and interconnect</w:t>
      </w:r>
      <w:r w:rsidR="009D084A" w:rsidRPr="00755058">
        <w:rPr>
          <w:rFonts w:ascii="Calibri" w:hAnsi="Calibri" w:cs="Calibri"/>
        </w:rPr>
        <w:t>ed</w:t>
      </w:r>
      <w:r w:rsidR="002F2A5F" w:rsidRPr="00755058">
        <w:rPr>
          <w:rFonts w:ascii="Calibri" w:hAnsi="Calibri" w:cs="Calibri"/>
        </w:rPr>
        <w:t xml:space="preserve"> </w:t>
      </w:r>
      <w:r w:rsidR="00D518AE" w:rsidRPr="00755058">
        <w:rPr>
          <w:rFonts w:ascii="Calibri" w:hAnsi="Calibri" w:cs="Calibri"/>
        </w:rPr>
        <w:t xml:space="preserve">historical developments </w:t>
      </w:r>
      <w:r w:rsidR="00A77794" w:rsidRPr="00755058">
        <w:rPr>
          <w:rFonts w:ascii="Calibri" w:hAnsi="Calibri" w:cs="Calibri"/>
        </w:rPr>
        <w:t xml:space="preserve">from the </w:t>
      </w:r>
      <w:r w:rsidR="00A77794" w:rsidRPr="002B63FA">
        <w:rPr>
          <w:rFonts w:ascii="Calibri" w:hAnsi="Calibri" w:cs="Calibri"/>
        </w:rPr>
        <w:t>year 1905</w:t>
      </w:r>
      <w:r w:rsidR="009D084A" w:rsidRPr="002B63FA">
        <w:rPr>
          <w:rFonts w:ascii="Calibri" w:hAnsi="Calibri" w:cs="Calibri"/>
        </w:rPr>
        <w:t xml:space="preserve"> </w:t>
      </w:r>
      <w:r w:rsidR="00755058" w:rsidRPr="002B63FA">
        <w:rPr>
          <w:rFonts w:ascii="Calibri" w:hAnsi="Calibri" w:cs="Calibri"/>
        </w:rPr>
        <w:t>in order to interrogate our</w:t>
      </w:r>
      <w:r w:rsidR="009D084A" w:rsidRPr="002B63FA">
        <w:rPr>
          <w:rFonts w:ascii="Calibri" w:hAnsi="Calibri" w:cs="Calibri"/>
        </w:rPr>
        <w:t xml:space="preserve"> relationship to events at the time</w:t>
      </w:r>
      <w:r w:rsidR="00755058" w:rsidRPr="002B63FA">
        <w:rPr>
          <w:rFonts w:ascii="Calibri" w:hAnsi="Calibri" w:cs="Calibri"/>
        </w:rPr>
        <w:t xml:space="preserve"> they occur</w:t>
      </w:r>
      <w:r w:rsidR="009D084A" w:rsidRPr="002B63FA">
        <w:rPr>
          <w:rFonts w:ascii="Calibri" w:hAnsi="Calibri" w:cs="Calibri"/>
        </w:rPr>
        <w:t xml:space="preserve">, how we make meaning of them later on, and </w:t>
      </w:r>
      <w:r w:rsidR="00755058" w:rsidRPr="002B63FA">
        <w:rPr>
          <w:rFonts w:ascii="Calibri" w:hAnsi="Calibri" w:cs="Calibri"/>
        </w:rPr>
        <w:t>how they</w:t>
      </w:r>
      <w:r w:rsidR="009D084A" w:rsidRPr="002B63FA">
        <w:rPr>
          <w:rFonts w:ascii="Calibri" w:hAnsi="Calibri" w:cs="Calibri"/>
        </w:rPr>
        <w:t xml:space="preserve"> fit into bigger historical pictures. </w:t>
      </w:r>
      <w:r w:rsidR="002F2A5F" w:rsidRPr="002B63FA">
        <w:rPr>
          <w:rFonts w:ascii="Calibri" w:hAnsi="Calibri" w:cs="Calibri"/>
        </w:rPr>
        <w:t>Th</w:t>
      </w:r>
      <w:r w:rsidR="009D084A" w:rsidRPr="002B63FA">
        <w:rPr>
          <w:rFonts w:ascii="Calibri" w:hAnsi="Calibri" w:cs="Calibri"/>
        </w:rPr>
        <w:t>rough six planned class meetings, students will explore the following</w:t>
      </w:r>
      <w:r w:rsidR="002F2A5F" w:rsidRPr="002B63FA">
        <w:rPr>
          <w:rFonts w:ascii="Calibri" w:hAnsi="Calibri" w:cs="Calibri"/>
        </w:rPr>
        <w:t xml:space="preserve"> </w:t>
      </w:r>
      <w:r w:rsidR="00CF4417" w:rsidRPr="002B63FA">
        <w:rPr>
          <w:rFonts w:ascii="Calibri" w:hAnsi="Calibri" w:cs="Calibri"/>
        </w:rPr>
        <w:t>events</w:t>
      </w:r>
      <w:r w:rsidR="00755058" w:rsidRPr="002B63FA">
        <w:rPr>
          <w:rFonts w:ascii="Calibri" w:hAnsi="Calibri" w:cs="Calibri"/>
        </w:rPr>
        <w:t xml:space="preserve"> of 1905</w:t>
      </w:r>
      <w:r w:rsidR="002F2A5F" w:rsidRPr="002B63FA">
        <w:rPr>
          <w:rFonts w:ascii="Calibri" w:hAnsi="Calibri" w:cs="Calibri"/>
        </w:rPr>
        <w:t xml:space="preserve">: </w:t>
      </w:r>
    </w:p>
    <w:p w14:paraId="3905E2CB" w14:textId="77777777" w:rsidR="00755058" w:rsidRPr="002B63FA" w:rsidRDefault="00755058" w:rsidP="00CF4417">
      <w:pPr>
        <w:rPr>
          <w:rFonts w:ascii="Calibri" w:hAnsi="Calibri" w:cs="Calibri"/>
        </w:rPr>
      </w:pPr>
    </w:p>
    <w:p w14:paraId="3EC35C52" w14:textId="77777777" w:rsidR="002F2A5F" w:rsidRPr="002B63FA" w:rsidRDefault="002F2A5F" w:rsidP="002F2A5F">
      <w:pPr>
        <w:pStyle w:val="ListParagraph"/>
        <w:numPr>
          <w:ilvl w:val="1"/>
          <w:numId w:val="7"/>
        </w:numPr>
        <w:rPr>
          <w:rFonts w:ascii="Calibri" w:hAnsi="Calibri" w:cs="Calibri"/>
        </w:rPr>
      </w:pPr>
      <w:r w:rsidRPr="002B63FA">
        <w:rPr>
          <w:rFonts w:ascii="Calibri" w:hAnsi="Calibri" w:cs="Calibri"/>
        </w:rPr>
        <w:t xml:space="preserve">the Russo-Japanese War, </w:t>
      </w:r>
    </w:p>
    <w:p w14:paraId="5C4CE2CB" w14:textId="77777777" w:rsidR="002F2A5F" w:rsidRPr="002B63FA" w:rsidRDefault="002F2A5F" w:rsidP="002F2A5F">
      <w:pPr>
        <w:pStyle w:val="ListParagraph"/>
        <w:numPr>
          <w:ilvl w:val="1"/>
          <w:numId w:val="7"/>
        </w:numPr>
        <w:rPr>
          <w:rFonts w:ascii="Calibri" w:hAnsi="Calibri" w:cs="Calibri"/>
        </w:rPr>
      </w:pPr>
      <w:r w:rsidRPr="002B63FA">
        <w:rPr>
          <w:rFonts w:ascii="Calibri" w:hAnsi="Calibri" w:cs="Calibri"/>
        </w:rPr>
        <w:t xml:space="preserve">the Russian Revolution, </w:t>
      </w:r>
    </w:p>
    <w:p w14:paraId="5C3E8124" w14:textId="731CA7D8" w:rsidR="00CF4417" w:rsidRPr="002B63FA" w:rsidRDefault="002F2A5F" w:rsidP="002F2A5F">
      <w:pPr>
        <w:pStyle w:val="ListParagraph"/>
        <w:numPr>
          <w:ilvl w:val="1"/>
          <w:numId w:val="7"/>
        </w:numPr>
        <w:rPr>
          <w:rFonts w:ascii="Calibri" w:hAnsi="Calibri" w:cs="Calibri"/>
        </w:rPr>
      </w:pPr>
      <w:r w:rsidRPr="002B63FA">
        <w:rPr>
          <w:rFonts w:ascii="Calibri" w:hAnsi="Calibri" w:cs="Calibri"/>
        </w:rPr>
        <w:t>the British Parliament’s non-vote on women’s suffrage</w:t>
      </w:r>
      <w:r w:rsidR="00CF4417" w:rsidRPr="002B63FA">
        <w:rPr>
          <w:rFonts w:ascii="Calibri" w:hAnsi="Calibri" w:cs="Calibri"/>
        </w:rPr>
        <w:t>, and</w:t>
      </w:r>
    </w:p>
    <w:p w14:paraId="64ED262E" w14:textId="2934853A" w:rsidR="00CF4417" w:rsidRPr="002B63FA" w:rsidRDefault="00CF4417" w:rsidP="00CF4417">
      <w:pPr>
        <w:pStyle w:val="ListParagraph"/>
        <w:numPr>
          <w:ilvl w:val="1"/>
          <w:numId w:val="7"/>
        </w:numPr>
        <w:rPr>
          <w:rFonts w:ascii="Calibri" w:hAnsi="Calibri" w:cs="Calibri"/>
        </w:rPr>
      </w:pPr>
      <w:r w:rsidRPr="002B63FA">
        <w:rPr>
          <w:rFonts w:ascii="Calibri" w:hAnsi="Calibri" w:cs="Calibri"/>
        </w:rPr>
        <w:t xml:space="preserve">the Partition of Bengal. </w:t>
      </w:r>
    </w:p>
    <w:p w14:paraId="03F6BF15" w14:textId="5EE7BC10" w:rsidR="002F2A5F" w:rsidRPr="002B63FA" w:rsidRDefault="002F2A5F" w:rsidP="00CF4417">
      <w:pPr>
        <w:rPr>
          <w:rFonts w:ascii="Calibri" w:hAnsi="Calibri" w:cs="Calibri"/>
        </w:rPr>
      </w:pPr>
    </w:p>
    <w:p w14:paraId="584C0A33" w14:textId="45CA9352" w:rsidR="00CF4417" w:rsidRPr="002B63FA" w:rsidRDefault="00CF4417" w:rsidP="00CF4417">
      <w:pPr>
        <w:rPr>
          <w:rFonts w:ascii="Calibri" w:hAnsi="Calibri" w:cs="Calibri"/>
        </w:rPr>
      </w:pPr>
      <w:r w:rsidRPr="002B63FA">
        <w:rPr>
          <w:rFonts w:ascii="Calibri" w:hAnsi="Calibri" w:cs="Calibri"/>
        </w:rPr>
        <w:t xml:space="preserve">The conclusion also briefly covers Albert </w:t>
      </w:r>
      <w:proofErr w:type="spellStart"/>
      <w:r w:rsidRPr="002B63FA">
        <w:rPr>
          <w:rFonts w:ascii="Calibri" w:hAnsi="Calibri" w:cs="Calibri"/>
        </w:rPr>
        <w:t>Einsten’s</w:t>
      </w:r>
      <w:proofErr w:type="spellEnd"/>
      <w:r w:rsidRPr="002B63FA">
        <w:rPr>
          <w:rFonts w:ascii="Calibri" w:hAnsi="Calibri" w:cs="Calibri"/>
        </w:rPr>
        <w:t xml:space="preserve"> four ‘physics changing’ papers of 1905. </w:t>
      </w:r>
    </w:p>
    <w:p w14:paraId="7DEE012B" w14:textId="77777777" w:rsidR="009D084A" w:rsidRPr="002B63FA" w:rsidRDefault="009D084A" w:rsidP="00CF4417">
      <w:pPr>
        <w:rPr>
          <w:rFonts w:ascii="Calibri" w:hAnsi="Calibri" w:cs="Calibri"/>
        </w:rPr>
      </w:pPr>
    </w:p>
    <w:p w14:paraId="555D6EF3" w14:textId="57CEFC2B" w:rsidR="00755058" w:rsidRPr="002B63FA" w:rsidRDefault="00C12E4D" w:rsidP="00755058">
      <w:pPr>
        <w:rPr>
          <w:rFonts w:ascii="Calibri" w:hAnsi="Calibri" w:cs="Calibri"/>
        </w:rPr>
      </w:pPr>
      <w:r w:rsidRPr="002B63FA">
        <w:rPr>
          <w:rFonts w:ascii="Calibri" w:hAnsi="Calibri" w:cs="Calibri"/>
        </w:rPr>
        <w:t xml:space="preserve">The </w:t>
      </w:r>
      <w:r w:rsidR="00C729CD">
        <w:rPr>
          <w:rFonts w:ascii="Calibri" w:hAnsi="Calibri" w:cs="Calibri"/>
        </w:rPr>
        <w:t>goal</w:t>
      </w:r>
      <w:r w:rsidRPr="002B63FA">
        <w:rPr>
          <w:rFonts w:ascii="Calibri" w:hAnsi="Calibri" w:cs="Calibri"/>
        </w:rPr>
        <w:t xml:space="preserve"> of the module is </w:t>
      </w:r>
      <w:r w:rsidR="009D084A" w:rsidRPr="002B63FA">
        <w:rPr>
          <w:rFonts w:ascii="Calibri" w:hAnsi="Calibri" w:cs="Calibri"/>
        </w:rPr>
        <w:t xml:space="preserve">to </w:t>
      </w:r>
      <w:r w:rsidR="00755058" w:rsidRPr="002B63FA">
        <w:rPr>
          <w:rFonts w:ascii="Calibri" w:hAnsi="Calibri" w:cs="Calibri"/>
        </w:rPr>
        <w:t xml:space="preserve">encourage students to consider how people experience and understand events and their significance at the time they occur, and how they reflect on them later on – in essence, to understand the production of history. In addition, it also aims to </w:t>
      </w:r>
      <w:r w:rsidR="009D084A" w:rsidRPr="002B63FA">
        <w:rPr>
          <w:rFonts w:ascii="Calibri" w:hAnsi="Calibri" w:cs="Calibri"/>
        </w:rPr>
        <w:t xml:space="preserve">help students </w:t>
      </w:r>
      <w:r w:rsidR="00755058" w:rsidRPr="002B63FA">
        <w:rPr>
          <w:rFonts w:ascii="Calibri" w:hAnsi="Calibri" w:cs="Calibri"/>
        </w:rPr>
        <w:t>think both about the ways the events of this single year were connected to one another, as well as the ways they were illustrative of the broader changes of modernity.</w:t>
      </w:r>
    </w:p>
    <w:p w14:paraId="645EB945" w14:textId="77777777" w:rsidR="009D084A" w:rsidRPr="002B63FA" w:rsidRDefault="009D084A" w:rsidP="009D084A">
      <w:pPr>
        <w:rPr>
          <w:rFonts w:ascii="Calibri" w:hAnsi="Calibri" w:cs="Calibri"/>
        </w:rPr>
      </w:pPr>
    </w:p>
    <w:p w14:paraId="3D3C4185" w14:textId="61046676" w:rsidR="009D084A" w:rsidRPr="002B63FA" w:rsidRDefault="009D084A" w:rsidP="009D084A">
      <w:pPr>
        <w:rPr>
          <w:rFonts w:ascii="Calibri" w:hAnsi="Calibri" w:cs="Calibri"/>
        </w:rPr>
      </w:pPr>
      <w:r w:rsidRPr="002B63FA">
        <w:rPr>
          <w:rFonts w:ascii="Calibri" w:hAnsi="Calibri" w:cs="Calibri"/>
        </w:rPr>
        <w:t xml:space="preserve">To </w:t>
      </w:r>
      <w:r w:rsidR="00755058" w:rsidRPr="002B63FA">
        <w:rPr>
          <w:rFonts w:ascii="Calibri" w:hAnsi="Calibri" w:cs="Calibri"/>
        </w:rPr>
        <w:t>accomplish these goals</w:t>
      </w:r>
      <w:r w:rsidRPr="002B63FA">
        <w:rPr>
          <w:rFonts w:ascii="Calibri" w:hAnsi="Calibri" w:cs="Calibri"/>
        </w:rPr>
        <w:t xml:space="preserve">, students will practice skills the following historical skills: </w:t>
      </w:r>
    </w:p>
    <w:p w14:paraId="60D279E7" w14:textId="77777777" w:rsidR="009D084A" w:rsidRPr="002B63FA" w:rsidRDefault="009D084A" w:rsidP="009D084A">
      <w:pPr>
        <w:rPr>
          <w:rFonts w:ascii="Calibri" w:hAnsi="Calibri" w:cs="Calibri"/>
        </w:rPr>
      </w:pPr>
    </w:p>
    <w:p w14:paraId="059B802B" w14:textId="20DBBFC0" w:rsidR="009D084A" w:rsidRPr="002B63FA" w:rsidRDefault="009D084A" w:rsidP="009D084A">
      <w:pPr>
        <w:pStyle w:val="ListParagraph"/>
        <w:numPr>
          <w:ilvl w:val="0"/>
          <w:numId w:val="20"/>
        </w:numPr>
        <w:contextualSpacing w:val="0"/>
        <w:rPr>
          <w:rFonts w:ascii="Calibri" w:hAnsi="Calibri" w:cs="Calibri"/>
        </w:rPr>
      </w:pPr>
      <w:r w:rsidRPr="002B63FA">
        <w:rPr>
          <w:rFonts w:ascii="Calibri" w:hAnsi="Calibri" w:cs="Calibri"/>
        </w:rPr>
        <w:t>Analyzing individual primary sources from different perspectives and moments in history.</w:t>
      </w:r>
    </w:p>
    <w:p w14:paraId="6E01EA5D" w14:textId="2BB42E16" w:rsidR="009B5789" w:rsidRPr="002B63FA" w:rsidRDefault="009D084A" w:rsidP="00D518AE">
      <w:pPr>
        <w:pStyle w:val="ListParagraph"/>
        <w:numPr>
          <w:ilvl w:val="0"/>
          <w:numId w:val="20"/>
        </w:numPr>
        <w:contextualSpacing w:val="0"/>
        <w:rPr>
          <w:rFonts w:ascii="Calibri" w:hAnsi="Calibri" w:cs="Calibri"/>
        </w:rPr>
      </w:pPr>
      <w:r w:rsidRPr="002B63FA">
        <w:rPr>
          <w:rFonts w:ascii="Calibri" w:hAnsi="Calibri" w:cs="Calibri"/>
        </w:rPr>
        <w:t>Synthesizing multiple historical sources to gain a fuller picture of a particular event.</w:t>
      </w:r>
    </w:p>
    <w:p w14:paraId="7531173C" w14:textId="77777777" w:rsidR="00D518AE" w:rsidRPr="002B63FA" w:rsidRDefault="00D518AE" w:rsidP="00D518AE">
      <w:pPr>
        <w:rPr>
          <w:rFonts w:ascii="Calibri" w:hAnsi="Calibri" w:cs="Calibri"/>
        </w:rPr>
      </w:pPr>
    </w:p>
    <w:p w14:paraId="4A191C8E" w14:textId="62F1E635" w:rsidR="00DE5944" w:rsidRPr="002B63FA" w:rsidRDefault="00D518AE" w:rsidP="00755058">
      <w:pPr>
        <w:rPr>
          <w:rFonts w:ascii="Calibri" w:hAnsi="Calibri" w:cs="Calibri"/>
        </w:rPr>
      </w:pPr>
      <w:r w:rsidRPr="002B63FA">
        <w:rPr>
          <w:rFonts w:ascii="Calibri" w:hAnsi="Calibri" w:cs="Calibri"/>
        </w:rPr>
        <w:t>The material</w:t>
      </w:r>
      <w:r w:rsidR="00755058" w:rsidRPr="002B63FA">
        <w:rPr>
          <w:rFonts w:ascii="Calibri" w:hAnsi="Calibri" w:cs="Calibri"/>
        </w:rPr>
        <w:t>s</w:t>
      </w:r>
      <w:r w:rsidRPr="002B63FA">
        <w:rPr>
          <w:rFonts w:ascii="Calibri" w:hAnsi="Calibri" w:cs="Calibri"/>
        </w:rPr>
        <w:t xml:space="preserve"> for the module include </w:t>
      </w:r>
      <w:r w:rsidR="00755058" w:rsidRPr="002B63FA">
        <w:rPr>
          <w:rFonts w:ascii="Calibri" w:hAnsi="Calibri" w:cs="Calibri"/>
        </w:rPr>
        <w:t xml:space="preserve">readings, primary sources, </w:t>
      </w:r>
      <w:r w:rsidRPr="002B63FA">
        <w:rPr>
          <w:rFonts w:ascii="Calibri" w:hAnsi="Calibri" w:cs="Calibri"/>
        </w:rPr>
        <w:t>lecture slides</w:t>
      </w:r>
      <w:r w:rsidR="00755058" w:rsidRPr="002B63FA">
        <w:rPr>
          <w:rFonts w:ascii="Calibri" w:hAnsi="Calibri" w:cs="Calibri"/>
        </w:rPr>
        <w:t>,</w:t>
      </w:r>
      <w:r w:rsidRPr="002B63FA">
        <w:rPr>
          <w:rFonts w:ascii="Calibri" w:hAnsi="Calibri" w:cs="Calibri"/>
        </w:rPr>
        <w:t xml:space="preserve"> and </w:t>
      </w:r>
      <w:r w:rsidR="00755058" w:rsidRPr="002B63FA">
        <w:rPr>
          <w:rFonts w:ascii="Calibri" w:hAnsi="Calibri" w:cs="Calibri"/>
        </w:rPr>
        <w:t xml:space="preserve">instructor </w:t>
      </w:r>
      <w:r w:rsidRPr="002B63FA">
        <w:rPr>
          <w:rFonts w:ascii="Calibri" w:hAnsi="Calibri" w:cs="Calibri"/>
        </w:rPr>
        <w:t xml:space="preserve">notes, </w:t>
      </w:r>
      <w:r w:rsidR="00755058" w:rsidRPr="002B63FA">
        <w:rPr>
          <w:rFonts w:ascii="Calibri" w:hAnsi="Calibri" w:cs="Calibri"/>
        </w:rPr>
        <w:t>as well as</w:t>
      </w:r>
      <w:r w:rsidRPr="002B63FA">
        <w:rPr>
          <w:rFonts w:ascii="Calibri" w:hAnsi="Calibri" w:cs="Calibri"/>
        </w:rPr>
        <w:t xml:space="preserve"> exercises and assignments</w:t>
      </w:r>
      <w:r w:rsidR="00A77794" w:rsidRPr="002B63FA">
        <w:rPr>
          <w:rFonts w:ascii="Calibri" w:hAnsi="Calibri" w:cs="Calibri"/>
        </w:rPr>
        <w:t xml:space="preserve"> for you to utilize or adapt as you think best.</w:t>
      </w:r>
      <w:r w:rsidR="003B5951" w:rsidRPr="002B63FA">
        <w:rPr>
          <w:rFonts w:ascii="Calibri" w:hAnsi="Calibri" w:cs="Calibri"/>
        </w:rPr>
        <w:t xml:space="preserve"> </w:t>
      </w:r>
    </w:p>
    <w:p w14:paraId="415D21D6" w14:textId="77777777" w:rsidR="002B63FA" w:rsidRDefault="002B63FA" w:rsidP="002B63FA">
      <w:pPr>
        <w:rPr>
          <w:rFonts w:ascii="Calibri" w:hAnsi="Calibri" w:cs="Calibri"/>
        </w:rPr>
      </w:pPr>
    </w:p>
    <w:p w14:paraId="68581BDF" w14:textId="77777777" w:rsidR="002B63FA" w:rsidRDefault="002B63FA" w:rsidP="002B63FA">
      <w:pPr>
        <w:rPr>
          <w:rFonts w:ascii="Calibri" w:hAnsi="Calibri" w:cs="Calibri"/>
          <w:b/>
          <w:iCs/>
        </w:rPr>
      </w:pPr>
    </w:p>
    <w:p w14:paraId="7115C795" w14:textId="1CD563AA" w:rsidR="00170EDD" w:rsidRDefault="00F2647B" w:rsidP="002B63FA">
      <w:pPr>
        <w:jc w:val="center"/>
        <w:rPr>
          <w:rFonts w:ascii="Calibri" w:hAnsi="Calibri" w:cs="Calibri"/>
          <w:b/>
          <w:iCs/>
        </w:rPr>
      </w:pPr>
      <w:r w:rsidRPr="002B63FA">
        <w:rPr>
          <w:rFonts w:ascii="Calibri" w:hAnsi="Calibri" w:cs="Calibri"/>
          <w:b/>
          <w:iCs/>
        </w:rPr>
        <w:lastRenderedPageBreak/>
        <w:t>Module Map</w:t>
      </w:r>
    </w:p>
    <w:p w14:paraId="57AD0F7B" w14:textId="77777777" w:rsidR="002B63FA" w:rsidRPr="002B63FA" w:rsidRDefault="002B63FA" w:rsidP="002B63FA">
      <w:pPr>
        <w:jc w:val="center"/>
        <w:rPr>
          <w:rFonts w:ascii="Calibri" w:hAnsi="Calibri" w:cs="Calibri"/>
          <w:b/>
          <w:iCs/>
        </w:rPr>
      </w:pPr>
    </w:p>
    <w:p w14:paraId="462F7024" w14:textId="3F713084" w:rsidR="00170EDD" w:rsidRDefault="00170EDD" w:rsidP="00170EDD">
      <w:pPr>
        <w:rPr>
          <w:rFonts w:ascii="Calibri" w:hAnsi="Calibri" w:cs="Calibri"/>
          <w:b/>
          <w:color w:val="C00000"/>
        </w:rPr>
      </w:pPr>
      <w:r w:rsidRPr="00170EDD">
        <w:rPr>
          <w:rFonts w:ascii="Calibri" w:hAnsi="Calibri" w:cs="Calibri"/>
          <w:b/>
          <w:color w:val="C00000"/>
        </w:rPr>
        <w:t>Lesson 1: Introduction to 1905</w:t>
      </w:r>
    </w:p>
    <w:p w14:paraId="55E82B12" w14:textId="11B948E0" w:rsidR="00170EDD" w:rsidRDefault="00170EDD" w:rsidP="00170EDD">
      <w:pPr>
        <w:rPr>
          <w:rFonts w:ascii="Calibri" w:hAnsi="Calibri" w:cs="Calibri"/>
        </w:rPr>
      </w:pPr>
      <w:r w:rsidRPr="00AB1AC7">
        <w:rPr>
          <w:rFonts w:ascii="Calibri" w:hAnsi="Calibri" w:cs="Calibri"/>
        </w:rPr>
        <w:t>The lesson begins by introducing the module,</w:t>
      </w:r>
      <w:r>
        <w:rPr>
          <w:rFonts w:ascii="Calibri" w:hAnsi="Calibri" w:cs="Calibri"/>
        </w:rPr>
        <w:t xml:space="preserve"> its key questions and the events that will be covered,</w:t>
      </w:r>
      <w:r w:rsidRPr="00AB1AC7">
        <w:rPr>
          <w:rFonts w:ascii="Calibri" w:hAnsi="Calibri" w:cs="Calibri"/>
        </w:rPr>
        <w:t xml:space="preserve"> and </w:t>
      </w:r>
      <w:r>
        <w:rPr>
          <w:rFonts w:ascii="Calibri" w:hAnsi="Calibri" w:cs="Calibri"/>
        </w:rPr>
        <w:t xml:space="preserve">by </w:t>
      </w:r>
      <w:r w:rsidRPr="00AB1AC7">
        <w:rPr>
          <w:rFonts w:ascii="Calibri" w:hAnsi="Calibri" w:cs="Calibri"/>
        </w:rPr>
        <w:t>asking students to think about</w:t>
      </w:r>
      <w:r>
        <w:rPr>
          <w:rFonts w:ascii="Calibri" w:hAnsi="Calibri" w:cs="Calibri"/>
        </w:rPr>
        <w:t xml:space="preserve"> how they experience events today, and in personal historical reflection. The first day also introduces students to the major trends of the modern era (roughly, the last two hundred years): demographic shifts, the rise of global empires, urbanization and industrialization, popular participation in governance, accelerating communication and rapid transportation, globalization, and debates about whether Western ways and ideas were a universal path towards the future, or just one of many “</w:t>
      </w:r>
      <w:proofErr w:type="spellStart"/>
      <w:r>
        <w:rPr>
          <w:rFonts w:ascii="Calibri" w:hAnsi="Calibri" w:cs="Calibri"/>
        </w:rPr>
        <w:t>modernities</w:t>
      </w:r>
      <w:proofErr w:type="spellEnd"/>
      <w:r>
        <w:rPr>
          <w:rFonts w:ascii="Calibri" w:hAnsi="Calibri" w:cs="Calibri"/>
        </w:rPr>
        <w:t xml:space="preserve">.” </w:t>
      </w:r>
    </w:p>
    <w:p w14:paraId="43B9426E" w14:textId="77777777" w:rsidR="00170EDD" w:rsidRPr="00170EDD" w:rsidRDefault="00170EDD" w:rsidP="00170EDD">
      <w:pPr>
        <w:rPr>
          <w:rFonts w:ascii="Calibri" w:hAnsi="Calibri" w:cs="Calibri"/>
          <w:b/>
          <w:color w:val="C00000"/>
        </w:rPr>
      </w:pPr>
    </w:p>
    <w:p w14:paraId="47790490" w14:textId="364BD18E" w:rsidR="00170EDD" w:rsidRDefault="00170EDD" w:rsidP="00170EDD">
      <w:pPr>
        <w:rPr>
          <w:rFonts w:ascii="Calibri" w:hAnsi="Calibri" w:cs="Calibri"/>
          <w:b/>
          <w:color w:val="C00000"/>
        </w:rPr>
      </w:pPr>
      <w:r w:rsidRPr="00170EDD">
        <w:rPr>
          <w:rFonts w:ascii="Calibri" w:hAnsi="Calibri" w:cs="Calibri"/>
          <w:b/>
          <w:color w:val="C00000"/>
        </w:rPr>
        <w:t>Lesson 2: The Russo-Japanese War</w:t>
      </w:r>
    </w:p>
    <w:p w14:paraId="0595DBB2" w14:textId="4B424B15" w:rsidR="00170EDD" w:rsidRPr="00FA2FB5" w:rsidRDefault="00170EDD" w:rsidP="00170EDD">
      <w:pPr>
        <w:rPr>
          <w:rFonts w:ascii="Calibri" w:hAnsi="Calibri" w:cs="Calibri"/>
          <w:bCs/>
        </w:rPr>
      </w:pPr>
      <w:r w:rsidRPr="00FA2FB5">
        <w:rPr>
          <w:rFonts w:ascii="Calibri" w:hAnsi="Calibri" w:cs="Calibri"/>
          <w:bCs/>
        </w:rPr>
        <w:t xml:space="preserve">The next lesson </w:t>
      </w:r>
      <w:r w:rsidR="0002475A" w:rsidRPr="00FA2FB5">
        <w:rPr>
          <w:rFonts w:ascii="Calibri" w:hAnsi="Calibri" w:cs="Calibri"/>
          <w:bCs/>
        </w:rPr>
        <w:t xml:space="preserve">begins the module’s survey of historical events that occurred in 1905, beginning with the Russo-Japanese War. Students consider the historical context of the moment in order to better understand the perspectives of the war’s participants and observers, before diving </w:t>
      </w:r>
      <w:proofErr w:type="gramStart"/>
      <w:r w:rsidR="0002475A" w:rsidRPr="00FA2FB5">
        <w:rPr>
          <w:rFonts w:ascii="Calibri" w:hAnsi="Calibri" w:cs="Calibri"/>
          <w:bCs/>
        </w:rPr>
        <w:t>in to</w:t>
      </w:r>
      <w:proofErr w:type="gramEnd"/>
      <w:r w:rsidR="0002475A" w:rsidRPr="00FA2FB5">
        <w:rPr>
          <w:rFonts w:ascii="Calibri" w:hAnsi="Calibri" w:cs="Calibri"/>
          <w:bCs/>
        </w:rPr>
        <w:t xml:space="preserve"> an analysis of primary sources from before, during, and after the war’s conclusion. Students will think both about how interpretations of the conflict vary over time, and how the war reflects trends of the modern era. </w:t>
      </w:r>
    </w:p>
    <w:p w14:paraId="7717F671" w14:textId="77777777" w:rsidR="00170EDD" w:rsidRPr="00170EDD" w:rsidRDefault="00170EDD" w:rsidP="00170EDD">
      <w:pPr>
        <w:rPr>
          <w:rFonts w:ascii="Calibri" w:hAnsi="Calibri" w:cs="Calibri"/>
          <w:b/>
          <w:color w:val="C00000"/>
        </w:rPr>
      </w:pPr>
    </w:p>
    <w:p w14:paraId="2209D1EF" w14:textId="15B2F7A6" w:rsidR="00170EDD" w:rsidRDefault="00170EDD" w:rsidP="00170EDD">
      <w:pPr>
        <w:rPr>
          <w:rFonts w:ascii="Calibri" w:hAnsi="Calibri" w:cs="Calibri"/>
          <w:b/>
          <w:color w:val="C00000"/>
        </w:rPr>
      </w:pPr>
      <w:r w:rsidRPr="00170EDD">
        <w:rPr>
          <w:rFonts w:ascii="Calibri" w:hAnsi="Calibri" w:cs="Calibri"/>
          <w:b/>
          <w:color w:val="C00000"/>
        </w:rPr>
        <w:t>Lesson 3: A Russian Revolution</w:t>
      </w:r>
    </w:p>
    <w:p w14:paraId="1804A0A1" w14:textId="3C61ACC4" w:rsidR="00170EDD" w:rsidRPr="00FA2FB5" w:rsidRDefault="00170EDD" w:rsidP="00170EDD">
      <w:pPr>
        <w:rPr>
          <w:rFonts w:ascii="Calibri" w:hAnsi="Calibri" w:cs="Calibri"/>
          <w:bCs/>
        </w:rPr>
      </w:pPr>
      <w:r w:rsidRPr="00FA2FB5">
        <w:rPr>
          <w:rFonts w:ascii="Calibri" w:hAnsi="Calibri" w:cs="Calibri"/>
          <w:bCs/>
        </w:rPr>
        <w:t>Lesson 3</w:t>
      </w:r>
      <w:r w:rsidR="0002475A" w:rsidRPr="00FA2FB5">
        <w:rPr>
          <w:rFonts w:ascii="Calibri" w:hAnsi="Calibri" w:cs="Calibri"/>
          <w:bCs/>
        </w:rPr>
        <w:t xml:space="preserve"> looks at the Russian Revolution of 1905. The main exercise of this lesson is a comparison between an imperial official and a participant in the revolution, both of which were written after 1905. This lesson encourages students to find similarities and differences in these accounts, </w:t>
      </w:r>
      <w:proofErr w:type="gramStart"/>
      <w:r w:rsidR="0002475A" w:rsidRPr="00FA2FB5">
        <w:rPr>
          <w:rFonts w:ascii="Calibri" w:hAnsi="Calibri" w:cs="Calibri"/>
          <w:bCs/>
        </w:rPr>
        <w:t>in order to</w:t>
      </w:r>
      <w:proofErr w:type="gramEnd"/>
      <w:r w:rsidR="0002475A" w:rsidRPr="00FA2FB5">
        <w:rPr>
          <w:rFonts w:ascii="Calibri" w:hAnsi="Calibri" w:cs="Calibri"/>
          <w:bCs/>
        </w:rPr>
        <w:t xml:space="preserve"> identify a synthesis of the Russian Revolution and its causes and consequences. The end of the lesson also asks students to compare the revolution to the Russo-Japanese War and to consider the Russian Revolution in the broader historical context of the modern era. </w:t>
      </w:r>
    </w:p>
    <w:p w14:paraId="2D6DEC8F" w14:textId="77777777" w:rsidR="00170EDD" w:rsidRPr="00170EDD" w:rsidRDefault="00170EDD" w:rsidP="00170EDD">
      <w:pPr>
        <w:rPr>
          <w:rFonts w:ascii="Calibri" w:hAnsi="Calibri" w:cs="Calibri"/>
          <w:b/>
          <w:color w:val="C00000"/>
        </w:rPr>
      </w:pPr>
    </w:p>
    <w:p w14:paraId="15734516" w14:textId="0DD36497" w:rsidR="0002475A" w:rsidRDefault="00170EDD" w:rsidP="00170EDD">
      <w:pPr>
        <w:rPr>
          <w:rFonts w:ascii="Calibri" w:hAnsi="Calibri" w:cs="Calibri"/>
          <w:b/>
          <w:color w:val="C00000"/>
        </w:rPr>
      </w:pPr>
      <w:r w:rsidRPr="00170EDD">
        <w:rPr>
          <w:rFonts w:ascii="Calibri" w:hAnsi="Calibri" w:cs="Calibri"/>
          <w:b/>
          <w:color w:val="C00000"/>
        </w:rPr>
        <w:t>Lesson 4: Women’s Suffrage in Britain</w:t>
      </w:r>
    </w:p>
    <w:p w14:paraId="3DF5495A" w14:textId="6587ECC5" w:rsidR="0002475A" w:rsidRPr="00FA2FB5" w:rsidRDefault="0002475A" w:rsidP="00170EDD">
      <w:pPr>
        <w:rPr>
          <w:rFonts w:ascii="Calibri" w:hAnsi="Calibri" w:cs="Calibri"/>
          <w:bCs/>
        </w:rPr>
      </w:pPr>
      <w:r w:rsidRPr="00FA2FB5">
        <w:rPr>
          <w:rFonts w:ascii="Calibri" w:hAnsi="Calibri" w:cs="Calibri"/>
          <w:bCs/>
        </w:rPr>
        <w:t xml:space="preserve">Lesson 4 turns to Britain and the women’s suffrage movement. The lesson begins by considering the deeper historical context of the suffrage movement, and then consider arguments for and against women’s enfranchisement presented during parliamentary debates in 1905. Using the memoirs of Emmeline Pankhurst, students also consider how one of the key activists of the movement assessed the “failure” of 1905 to achieve women’s voting rights, and what consequences this had. The lesson concludes with a comparison to the Russian Revolution of 1905, to draw out similarities and differences in growing popular demands for a say in governance. </w:t>
      </w:r>
    </w:p>
    <w:p w14:paraId="674C26E6" w14:textId="77777777" w:rsidR="0002475A" w:rsidRPr="00170EDD" w:rsidRDefault="0002475A" w:rsidP="00170EDD">
      <w:pPr>
        <w:rPr>
          <w:rFonts w:ascii="Calibri" w:hAnsi="Calibri" w:cs="Calibri"/>
          <w:b/>
          <w:color w:val="C00000"/>
        </w:rPr>
      </w:pPr>
    </w:p>
    <w:p w14:paraId="7D0D904B" w14:textId="01C69AB3" w:rsidR="00170EDD" w:rsidRDefault="00170EDD" w:rsidP="00170EDD">
      <w:pPr>
        <w:rPr>
          <w:rFonts w:ascii="Calibri" w:hAnsi="Calibri" w:cs="Calibri"/>
          <w:b/>
          <w:color w:val="C00000"/>
        </w:rPr>
      </w:pPr>
      <w:r w:rsidRPr="00170EDD">
        <w:rPr>
          <w:rFonts w:ascii="Calibri" w:hAnsi="Calibri" w:cs="Calibri"/>
          <w:b/>
          <w:color w:val="C00000"/>
        </w:rPr>
        <w:t>Lesson 5: The Partition of Bengal</w:t>
      </w:r>
    </w:p>
    <w:p w14:paraId="7FA633C2" w14:textId="3A79FD2E" w:rsidR="00170EDD" w:rsidRPr="0002475A" w:rsidRDefault="00170EDD" w:rsidP="00170EDD">
      <w:pPr>
        <w:rPr>
          <w:rFonts w:ascii="Calibri" w:hAnsi="Calibri" w:cs="Calibri"/>
          <w:bCs/>
        </w:rPr>
      </w:pPr>
      <w:r w:rsidRPr="0002475A">
        <w:rPr>
          <w:rFonts w:ascii="Calibri" w:hAnsi="Calibri" w:cs="Calibri"/>
          <w:bCs/>
        </w:rPr>
        <w:t xml:space="preserve">In the fifth lesson, students consider the British empire in South Asia, and the Partition of Bengal of 1905. Students consider </w:t>
      </w:r>
      <w:r w:rsidR="0002475A" w:rsidRPr="0002475A">
        <w:rPr>
          <w:rFonts w:ascii="Calibri" w:hAnsi="Calibri" w:cs="Calibri"/>
          <w:bCs/>
        </w:rPr>
        <w:t>the motivations of</w:t>
      </w:r>
      <w:r w:rsidRPr="0002475A">
        <w:rPr>
          <w:rFonts w:ascii="Calibri" w:hAnsi="Calibri" w:cs="Calibri"/>
          <w:bCs/>
        </w:rPr>
        <w:t xml:space="preserve"> imperial administrators, as well as the</w:t>
      </w:r>
      <w:r w:rsidR="0002475A" w:rsidRPr="0002475A">
        <w:rPr>
          <w:rFonts w:ascii="Calibri" w:hAnsi="Calibri" w:cs="Calibri"/>
          <w:bCs/>
        </w:rPr>
        <w:t xml:space="preserve"> </w:t>
      </w:r>
      <w:r w:rsidRPr="0002475A">
        <w:rPr>
          <w:rFonts w:ascii="Calibri" w:hAnsi="Calibri" w:cs="Calibri"/>
          <w:bCs/>
        </w:rPr>
        <w:t xml:space="preserve">arguments </w:t>
      </w:r>
      <w:r w:rsidR="0002475A" w:rsidRPr="0002475A">
        <w:rPr>
          <w:rFonts w:ascii="Calibri" w:hAnsi="Calibri" w:cs="Calibri"/>
          <w:bCs/>
        </w:rPr>
        <w:t>they made to the Bengali public in favor of</w:t>
      </w:r>
      <w:r w:rsidRPr="0002475A">
        <w:rPr>
          <w:rFonts w:ascii="Calibri" w:hAnsi="Calibri" w:cs="Calibri"/>
          <w:bCs/>
        </w:rPr>
        <w:t xml:space="preserve"> the partition. They also consider how local leaders interpreted this event, and its effects on popular resistance and ideas about identity </w:t>
      </w:r>
      <w:r w:rsidR="0002475A" w:rsidRPr="0002475A">
        <w:rPr>
          <w:rFonts w:ascii="Calibri" w:hAnsi="Calibri" w:cs="Calibri"/>
          <w:bCs/>
        </w:rPr>
        <w:t xml:space="preserve">in the region. </w:t>
      </w:r>
    </w:p>
    <w:p w14:paraId="0D4A0821" w14:textId="77777777" w:rsidR="00170EDD" w:rsidRPr="00170EDD" w:rsidRDefault="00170EDD" w:rsidP="00170EDD">
      <w:pPr>
        <w:rPr>
          <w:rFonts w:ascii="Calibri" w:hAnsi="Calibri" w:cs="Calibri"/>
          <w:b/>
          <w:color w:val="C00000"/>
        </w:rPr>
      </w:pPr>
    </w:p>
    <w:p w14:paraId="4F3F52EF" w14:textId="3B296E17" w:rsidR="00170EDD" w:rsidRDefault="00170EDD" w:rsidP="00170EDD">
      <w:pPr>
        <w:rPr>
          <w:rFonts w:ascii="Calibri" w:hAnsi="Calibri" w:cs="Calibri"/>
          <w:b/>
          <w:color w:val="C00000"/>
        </w:rPr>
      </w:pPr>
      <w:r w:rsidRPr="00170EDD">
        <w:rPr>
          <w:rFonts w:ascii="Calibri" w:hAnsi="Calibri" w:cs="Calibri"/>
          <w:b/>
          <w:color w:val="C00000"/>
        </w:rPr>
        <w:t>Conclusion</w:t>
      </w:r>
    </w:p>
    <w:p w14:paraId="3AF7B659" w14:textId="293C3FD1" w:rsidR="00170EDD" w:rsidRPr="006F4F33" w:rsidRDefault="0002475A" w:rsidP="00170EDD">
      <w:pPr>
        <w:rPr>
          <w:rFonts w:ascii="Calibri" w:hAnsi="Calibri" w:cs="Calibri"/>
        </w:rPr>
      </w:pPr>
      <w:r>
        <w:rPr>
          <w:rFonts w:ascii="Calibri" w:hAnsi="Calibri" w:cs="Calibri"/>
        </w:rPr>
        <w:t xml:space="preserve">The final day of the module asks students to consider how the events of 1905 were connected to one another, as manifestations of the trends of modernity. Students are also encouraged to consider to what extent the feel the people writing about these events at the time, and looking back understood what was happening. </w:t>
      </w:r>
      <w:r w:rsidR="00170EDD" w:rsidRPr="00AB1AC7">
        <w:rPr>
          <w:rFonts w:ascii="Calibri" w:hAnsi="Calibri" w:cs="Calibri"/>
        </w:rPr>
        <w:t xml:space="preserve">The goal is to work towards </w:t>
      </w:r>
      <w:r>
        <w:rPr>
          <w:rFonts w:ascii="Calibri" w:hAnsi="Calibri" w:cs="Calibri"/>
        </w:rPr>
        <w:t xml:space="preserve">a more complex understanding of the world in 1905 and its place in a longer historical narrative, as well as to reflect on the construction of history. </w:t>
      </w:r>
    </w:p>
    <w:p w14:paraId="59E17FFB" w14:textId="77777777" w:rsidR="00170EDD" w:rsidRPr="00170EDD" w:rsidRDefault="00170EDD" w:rsidP="00170EDD">
      <w:pPr>
        <w:rPr>
          <w:rFonts w:ascii="Calibri" w:hAnsi="Calibri" w:cs="Calibri"/>
          <w:b/>
          <w:iCs/>
          <w:color w:val="C00000"/>
        </w:rPr>
      </w:pPr>
    </w:p>
    <w:p w14:paraId="4403B36F" w14:textId="2A780BF7" w:rsidR="00342F6E" w:rsidRDefault="00342F6E" w:rsidP="00342F6E">
      <w:pPr>
        <w:tabs>
          <w:tab w:val="left" w:pos="0"/>
        </w:tabs>
        <w:jc w:val="center"/>
      </w:pPr>
    </w:p>
    <w:sectPr w:rsidR="00342F6E" w:rsidSect="002050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FA23" w14:textId="77777777" w:rsidR="008F2907" w:rsidRDefault="008F2907">
      <w:r>
        <w:separator/>
      </w:r>
    </w:p>
  </w:endnote>
  <w:endnote w:type="continuationSeparator" w:id="0">
    <w:p w14:paraId="4CCCEE8B" w14:textId="77777777" w:rsidR="008F2907" w:rsidRDefault="008F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457E" w14:textId="77777777" w:rsidR="008F2907" w:rsidRDefault="008F2907">
      <w:r>
        <w:separator/>
      </w:r>
    </w:p>
  </w:footnote>
  <w:footnote w:type="continuationSeparator" w:id="0">
    <w:p w14:paraId="28D7A45B" w14:textId="77777777" w:rsidR="008F2907" w:rsidRDefault="008F2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BE6"/>
    <w:multiLevelType w:val="hybridMultilevel"/>
    <w:tmpl w:val="3CCA7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F53BA"/>
    <w:multiLevelType w:val="hybridMultilevel"/>
    <w:tmpl w:val="B8EE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D6E1B"/>
    <w:multiLevelType w:val="hybridMultilevel"/>
    <w:tmpl w:val="97E0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35DF"/>
    <w:multiLevelType w:val="hybridMultilevel"/>
    <w:tmpl w:val="E894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01A3"/>
    <w:multiLevelType w:val="hybridMultilevel"/>
    <w:tmpl w:val="823CD0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74457"/>
    <w:multiLevelType w:val="hybridMultilevel"/>
    <w:tmpl w:val="DD685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27BBB"/>
    <w:multiLevelType w:val="hybridMultilevel"/>
    <w:tmpl w:val="22464A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AA0D68"/>
    <w:multiLevelType w:val="hybridMultilevel"/>
    <w:tmpl w:val="25627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8D1572"/>
    <w:multiLevelType w:val="hybridMultilevel"/>
    <w:tmpl w:val="D98E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F532D"/>
    <w:multiLevelType w:val="hybridMultilevel"/>
    <w:tmpl w:val="B12C5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D0FD6"/>
    <w:multiLevelType w:val="hybridMultilevel"/>
    <w:tmpl w:val="5970AB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8F33A2C"/>
    <w:multiLevelType w:val="hybridMultilevel"/>
    <w:tmpl w:val="E02C7B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8FC62C7"/>
    <w:multiLevelType w:val="hybridMultilevel"/>
    <w:tmpl w:val="5E544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40BA3"/>
    <w:multiLevelType w:val="hybridMultilevel"/>
    <w:tmpl w:val="395E54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AF2D2A"/>
    <w:multiLevelType w:val="hybridMultilevel"/>
    <w:tmpl w:val="0140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C3FCC"/>
    <w:multiLevelType w:val="hybridMultilevel"/>
    <w:tmpl w:val="5020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E531B"/>
    <w:multiLevelType w:val="hybridMultilevel"/>
    <w:tmpl w:val="CE1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56809"/>
    <w:multiLevelType w:val="hybridMultilevel"/>
    <w:tmpl w:val="EA2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F5CFB"/>
    <w:multiLevelType w:val="hybridMultilevel"/>
    <w:tmpl w:val="BF4665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EDD41BE"/>
    <w:multiLevelType w:val="hybridMultilevel"/>
    <w:tmpl w:val="B8869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50504512">
    <w:abstractNumId w:val="14"/>
  </w:num>
  <w:num w:numId="2" w16cid:durableId="499547780">
    <w:abstractNumId w:val="7"/>
  </w:num>
  <w:num w:numId="3" w16cid:durableId="523441954">
    <w:abstractNumId w:val="8"/>
  </w:num>
  <w:num w:numId="4" w16cid:durableId="1629775107">
    <w:abstractNumId w:val="17"/>
  </w:num>
  <w:num w:numId="5" w16cid:durableId="1988169002">
    <w:abstractNumId w:val="3"/>
  </w:num>
  <w:num w:numId="6" w16cid:durableId="1644461963">
    <w:abstractNumId w:val="16"/>
  </w:num>
  <w:num w:numId="7" w16cid:durableId="1016077515">
    <w:abstractNumId w:val="2"/>
  </w:num>
  <w:num w:numId="8" w16cid:durableId="2073887527">
    <w:abstractNumId w:val="9"/>
  </w:num>
  <w:num w:numId="9" w16cid:durableId="874275271">
    <w:abstractNumId w:val="4"/>
  </w:num>
  <w:num w:numId="10" w16cid:durableId="1094135226">
    <w:abstractNumId w:val="15"/>
  </w:num>
  <w:num w:numId="11" w16cid:durableId="897522211">
    <w:abstractNumId w:val="0"/>
  </w:num>
  <w:num w:numId="12" w16cid:durableId="1425492045">
    <w:abstractNumId w:val="11"/>
  </w:num>
  <w:num w:numId="13" w16cid:durableId="892888401">
    <w:abstractNumId w:val="5"/>
  </w:num>
  <w:num w:numId="14" w16cid:durableId="1767918550">
    <w:abstractNumId w:val="6"/>
  </w:num>
  <w:num w:numId="15" w16cid:durableId="101148387">
    <w:abstractNumId w:val="10"/>
  </w:num>
  <w:num w:numId="16" w16cid:durableId="503595891">
    <w:abstractNumId w:val="18"/>
  </w:num>
  <w:num w:numId="17" w16cid:durableId="1866091540">
    <w:abstractNumId w:val="19"/>
  </w:num>
  <w:num w:numId="18" w16cid:durableId="1003359171">
    <w:abstractNumId w:val="13"/>
  </w:num>
  <w:num w:numId="19" w16cid:durableId="1469084707">
    <w:abstractNumId w:val="12"/>
  </w:num>
  <w:num w:numId="20" w16cid:durableId="37096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AE"/>
    <w:rsid w:val="00021A57"/>
    <w:rsid w:val="0002475A"/>
    <w:rsid w:val="0006436A"/>
    <w:rsid w:val="00083B05"/>
    <w:rsid w:val="0008562C"/>
    <w:rsid w:val="0011530D"/>
    <w:rsid w:val="00142C91"/>
    <w:rsid w:val="00170EDD"/>
    <w:rsid w:val="00171A44"/>
    <w:rsid w:val="002050AD"/>
    <w:rsid w:val="002B4508"/>
    <w:rsid w:val="002B63FA"/>
    <w:rsid w:val="002F2A5F"/>
    <w:rsid w:val="00342F6E"/>
    <w:rsid w:val="00351C2A"/>
    <w:rsid w:val="003B5951"/>
    <w:rsid w:val="0041479D"/>
    <w:rsid w:val="0044206A"/>
    <w:rsid w:val="00491FC1"/>
    <w:rsid w:val="004C1314"/>
    <w:rsid w:val="0059356A"/>
    <w:rsid w:val="005A5C26"/>
    <w:rsid w:val="00662693"/>
    <w:rsid w:val="0067725C"/>
    <w:rsid w:val="006B6065"/>
    <w:rsid w:val="006D1275"/>
    <w:rsid w:val="0074708B"/>
    <w:rsid w:val="00755058"/>
    <w:rsid w:val="007C0A31"/>
    <w:rsid w:val="008039A9"/>
    <w:rsid w:val="00816351"/>
    <w:rsid w:val="00825A7F"/>
    <w:rsid w:val="00851F38"/>
    <w:rsid w:val="00864DAD"/>
    <w:rsid w:val="00887EBE"/>
    <w:rsid w:val="008F2907"/>
    <w:rsid w:val="00913797"/>
    <w:rsid w:val="0092492A"/>
    <w:rsid w:val="00933DD8"/>
    <w:rsid w:val="0098667A"/>
    <w:rsid w:val="009B5789"/>
    <w:rsid w:val="009B6A23"/>
    <w:rsid w:val="009D084A"/>
    <w:rsid w:val="009D3750"/>
    <w:rsid w:val="009E0F09"/>
    <w:rsid w:val="009F2C01"/>
    <w:rsid w:val="00A77794"/>
    <w:rsid w:val="00A8199F"/>
    <w:rsid w:val="00A944D3"/>
    <w:rsid w:val="00AC7085"/>
    <w:rsid w:val="00AE56B0"/>
    <w:rsid w:val="00BC7BC3"/>
    <w:rsid w:val="00C12E4D"/>
    <w:rsid w:val="00C17D4F"/>
    <w:rsid w:val="00C51978"/>
    <w:rsid w:val="00C71794"/>
    <w:rsid w:val="00C729CD"/>
    <w:rsid w:val="00CB0044"/>
    <w:rsid w:val="00CF4417"/>
    <w:rsid w:val="00D10563"/>
    <w:rsid w:val="00D35179"/>
    <w:rsid w:val="00D518AE"/>
    <w:rsid w:val="00DE04B1"/>
    <w:rsid w:val="00DE5944"/>
    <w:rsid w:val="00E1636A"/>
    <w:rsid w:val="00E46072"/>
    <w:rsid w:val="00F2647B"/>
    <w:rsid w:val="00F75F0F"/>
    <w:rsid w:val="00F966AF"/>
    <w:rsid w:val="00FA2FB5"/>
    <w:rsid w:val="00FA3FD9"/>
    <w:rsid w:val="00FD0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7F0B6"/>
  <w15:docId w15:val="{9A25D85A-4F7B-DF45-869A-136BBD9C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AE"/>
    <w:pPr>
      <w:tabs>
        <w:tab w:val="center" w:pos="4680"/>
        <w:tab w:val="right" w:pos="9360"/>
      </w:tabs>
    </w:pPr>
  </w:style>
  <w:style w:type="character" w:customStyle="1" w:styleId="HeaderChar">
    <w:name w:val="Header Char"/>
    <w:basedOn w:val="DefaultParagraphFont"/>
    <w:link w:val="Header"/>
    <w:uiPriority w:val="99"/>
    <w:rsid w:val="00D518AE"/>
  </w:style>
  <w:style w:type="paragraph" w:styleId="ListParagraph">
    <w:name w:val="List Paragraph"/>
    <w:basedOn w:val="Normal"/>
    <w:uiPriority w:val="34"/>
    <w:qFormat/>
    <w:rsid w:val="00D518AE"/>
    <w:pPr>
      <w:ind w:left="720"/>
      <w:contextualSpacing/>
    </w:pPr>
  </w:style>
  <w:style w:type="paragraph" w:styleId="Footer">
    <w:name w:val="footer"/>
    <w:basedOn w:val="Normal"/>
    <w:link w:val="FooterChar"/>
    <w:uiPriority w:val="99"/>
    <w:unhideWhenUsed/>
    <w:rsid w:val="00C71794"/>
    <w:pPr>
      <w:tabs>
        <w:tab w:val="center" w:pos="4680"/>
        <w:tab w:val="right" w:pos="9360"/>
      </w:tabs>
    </w:pPr>
  </w:style>
  <w:style w:type="character" w:customStyle="1" w:styleId="FooterChar">
    <w:name w:val="Footer Char"/>
    <w:basedOn w:val="DefaultParagraphFont"/>
    <w:link w:val="Footer"/>
    <w:uiPriority w:val="99"/>
    <w:rsid w:val="00C71794"/>
  </w:style>
  <w:style w:type="table" w:styleId="TableGrid">
    <w:name w:val="Table Grid"/>
    <w:basedOn w:val="TableNormal"/>
    <w:uiPriority w:val="39"/>
    <w:rsid w:val="00DE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179"/>
    <w:rPr>
      <w:color w:val="0563C1" w:themeColor="hyperlink"/>
      <w:u w:val="single"/>
    </w:rPr>
  </w:style>
  <w:style w:type="character" w:customStyle="1" w:styleId="UnresolvedMention1">
    <w:name w:val="Unresolved Mention1"/>
    <w:basedOn w:val="DefaultParagraphFont"/>
    <w:uiPriority w:val="99"/>
    <w:semiHidden/>
    <w:unhideWhenUsed/>
    <w:rsid w:val="00D35179"/>
    <w:rPr>
      <w:color w:val="605E5C"/>
      <w:shd w:val="clear" w:color="auto" w:fill="E1DFDD"/>
    </w:rPr>
  </w:style>
  <w:style w:type="character" w:styleId="UnresolvedMention">
    <w:name w:val="Unresolved Mention"/>
    <w:basedOn w:val="DefaultParagraphFont"/>
    <w:uiPriority w:val="99"/>
    <w:semiHidden/>
    <w:unhideWhenUsed/>
    <w:rsid w:val="00662693"/>
    <w:rPr>
      <w:color w:val="605E5C"/>
      <w:shd w:val="clear" w:color="auto" w:fill="E1DFDD"/>
    </w:rPr>
  </w:style>
  <w:style w:type="character" w:styleId="CommentReference">
    <w:name w:val="annotation reference"/>
    <w:basedOn w:val="DefaultParagraphFont"/>
    <w:uiPriority w:val="99"/>
    <w:semiHidden/>
    <w:unhideWhenUsed/>
    <w:rsid w:val="00CF4417"/>
    <w:rPr>
      <w:sz w:val="16"/>
      <w:szCs w:val="16"/>
    </w:rPr>
  </w:style>
  <w:style w:type="paragraph" w:styleId="CommentText">
    <w:name w:val="annotation text"/>
    <w:basedOn w:val="Normal"/>
    <w:link w:val="CommentTextChar"/>
    <w:uiPriority w:val="99"/>
    <w:semiHidden/>
    <w:unhideWhenUsed/>
    <w:rsid w:val="00CF4417"/>
    <w:rPr>
      <w:sz w:val="20"/>
      <w:szCs w:val="20"/>
    </w:rPr>
  </w:style>
  <w:style w:type="character" w:customStyle="1" w:styleId="CommentTextChar">
    <w:name w:val="Comment Text Char"/>
    <w:basedOn w:val="DefaultParagraphFont"/>
    <w:link w:val="CommentText"/>
    <w:uiPriority w:val="99"/>
    <w:semiHidden/>
    <w:rsid w:val="00CF4417"/>
    <w:rPr>
      <w:sz w:val="20"/>
      <w:szCs w:val="20"/>
    </w:rPr>
  </w:style>
  <w:style w:type="paragraph" w:styleId="CommentSubject">
    <w:name w:val="annotation subject"/>
    <w:basedOn w:val="CommentText"/>
    <w:next w:val="CommentText"/>
    <w:link w:val="CommentSubjectChar"/>
    <w:uiPriority w:val="99"/>
    <w:semiHidden/>
    <w:unhideWhenUsed/>
    <w:rsid w:val="00CF4417"/>
    <w:rPr>
      <w:b/>
      <w:bCs/>
    </w:rPr>
  </w:style>
  <w:style w:type="character" w:customStyle="1" w:styleId="CommentSubjectChar">
    <w:name w:val="Comment Subject Char"/>
    <w:basedOn w:val="CommentTextChar"/>
    <w:link w:val="CommentSubject"/>
    <w:uiPriority w:val="99"/>
    <w:semiHidden/>
    <w:rsid w:val="00CF4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tory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081212 harris</dc:creator>
  <cp:keywords/>
  <dc:description/>
  <cp:lastModifiedBy>Miller, Brenna C</cp:lastModifiedBy>
  <cp:revision>8</cp:revision>
  <dcterms:created xsi:type="dcterms:W3CDTF">2022-07-08T23:34:00Z</dcterms:created>
  <dcterms:modified xsi:type="dcterms:W3CDTF">2023-05-30T23:44:00Z</dcterms:modified>
</cp:coreProperties>
</file>