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AC23" w14:textId="77777777" w:rsidR="003E65F8" w:rsidRPr="003E65F8" w:rsidRDefault="003E65F8" w:rsidP="003E65F8">
      <w:pPr>
        <w:pBdr>
          <w:bottom w:val="single" w:sz="4" w:space="1" w:color="auto"/>
        </w:pBdr>
        <w:jc w:val="center"/>
        <w:rPr>
          <w:rFonts w:ascii="Avenir Next LT Pro" w:hAnsi="Avenir Next LT Pro"/>
          <w:b/>
          <w:bCs/>
          <w:sz w:val="40"/>
          <w:szCs w:val="40"/>
        </w:rPr>
      </w:pPr>
      <w:r w:rsidRPr="003E65F8">
        <w:rPr>
          <w:rFonts w:ascii="Avenir Next LT Pro" w:hAnsi="Avenir Next LT Pro"/>
          <w:b/>
          <w:bCs/>
          <w:sz w:val="40"/>
          <w:szCs w:val="40"/>
        </w:rPr>
        <w:t xml:space="preserve">The Global 1905: </w:t>
      </w:r>
    </w:p>
    <w:p w14:paraId="48A1A99C" w14:textId="77777777" w:rsidR="003E65F8" w:rsidRPr="003E65F8" w:rsidRDefault="003E65F8" w:rsidP="003E65F8">
      <w:pPr>
        <w:pBdr>
          <w:bottom w:val="single" w:sz="4" w:space="1" w:color="auto"/>
        </w:pBdr>
        <w:jc w:val="center"/>
        <w:rPr>
          <w:rFonts w:ascii="Avenir Next LT Pro" w:hAnsi="Avenir Next LT Pro"/>
          <w:b/>
          <w:bCs/>
          <w:sz w:val="40"/>
          <w:szCs w:val="40"/>
        </w:rPr>
      </w:pPr>
      <w:r w:rsidRPr="003E65F8">
        <w:rPr>
          <w:rFonts w:ascii="Avenir Next LT Pro" w:hAnsi="Avenir Next LT Pro"/>
          <w:b/>
          <w:bCs/>
          <w:sz w:val="40"/>
          <w:szCs w:val="40"/>
        </w:rPr>
        <w:t>Facets of a Year; Facets of an Era</w:t>
      </w:r>
    </w:p>
    <w:p w14:paraId="7CF498EA" w14:textId="30E46172" w:rsidR="003E65F8" w:rsidRDefault="003E65F8" w:rsidP="003E65F8">
      <w:pPr>
        <w:pBdr>
          <w:bottom w:val="single" w:sz="4" w:space="1" w:color="auto"/>
        </w:pBdr>
        <w:jc w:val="center"/>
        <w:rPr>
          <w:rFonts w:ascii="Avenir Next LT Pro" w:hAnsi="Avenir Next LT Pro"/>
          <w:sz w:val="32"/>
          <w:szCs w:val="32"/>
        </w:rPr>
      </w:pPr>
      <w:r w:rsidRPr="003E65F8">
        <w:rPr>
          <w:rFonts w:ascii="Avenir Next LT Pro" w:hAnsi="Avenir Next LT Pro"/>
          <w:sz w:val="32"/>
          <w:szCs w:val="32"/>
        </w:rPr>
        <w:t>0.2 – Module Lesson Plan</w:t>
      </w:r>
    </w:p>
    <w:p w14:paraId="2047D02B" w14:textId="77777777" w:rsidR="003E65F8" w:rsidRPr="008C129D" w:rsidRDefault="003E65F8" w:rsidP="003E65F8">
      <w:pPr>
        <w:pBdr>
          <w:bottom w:val="single" w:sz="4" w:space="1" w:color="auto"/>
        </w:pBdr>
        <w:jc w:val="center"/>
        <w:rPr>
          <w:rFonts w:ascii="Avenir Next LT Pro" w:hAnsi="Avenir Next LT Pro"/>
          <w:sz w:val="32"/>
          <w:szCs w:val="32"/>
        </w:rPr>
      </w:pPr>
    </w:p>
    <w:p w14:paraId="0B3F5B96" w14:textId="77777777" w:rsidR="003E65F8" w:rsidRDefault="003E65F8" w:rsidP="00D74F7A">
      <w:pPr>
        <w:jc w:val="center"/>
        <w:rPr>
          <w:sz w:val="36"/>
          <w:szCs w:val="36"/>
        </w:rPr>
      </w:pPr>
    </w:p>
    <w:p w14:paraId="4437FEBE" w14:textId="1A047A74" w:rsidR="00D74F7A" w:rsidRPr="005C7C0B" w:rsidRDefault="00363D51">
      <w:pPr>
        <w:rPr>
          <w:rFonts w:ascii="Calibri" w:hAnsi="Calibri" w:cs="Calibri"/>
          <w:b/>
          <w:bCs/>
        </w:rPr>
      </w:pPr>
      <w:r w:rsidRPr="005C7C0B">
        <w:rPr>
          <w:rFonts w:ascii="Calibri" w:hAnsi="Calibri" w:cs="Calibri"/>
          <w:b/>
          <w:bCs/>
        </w:rPr>
        <w:t xml:space="preserve">Introduction </w:t>
      </w:r>
    </w:p>
    <w:p w14:paraId="012D06BE" w14:textId="77777777" w:rsidR="00D74F7A" w:rsidRPr="005C7C0B" w:rsidRDefault="00D74F7A">
      <w:pPr>
        <w:rPr>
          <w:rFonts w:ascii="Calibri" w:hAnsi="Calibri" w:cs="Calibri"/>
        </w:rPr>
      </w:pPr>
    </w:p>
    <w:p w14:paraId="7BCDEEA3" w14:textId="4D3DEF54" w:rsidR="00974940" w:rsidRPr="005C7C0B" w:rsidRDefault="00DF0B8E">
      <w:pPr>
        <w:rPr>
          <w:rFonts w:ascii="Calibri" w:hAnsi="Calibri" w:cs="Calibri"/>
        </w:rPr>
      </w:pPr>
      <w:r w:rsidRPr="005C7C0B">
        <w:rPr>
          <w:rFonts w:ascii="Calibri" w:hAnsi="Calibri" w:cs="Calibri"/>
        </w:rPr>
        <w:t>1905 was a year of revolution</w:t>
      </w:r>
      <w:r w:rsidR="004C23F3" w:rsidRPr="005C7C0B">
        <w:rPr>
          <w:rFonts w:ascii="Calibri" w:hAnsi="Calibri" w:cs="Calibri"/>
        </w:rPr>
        <w:t>.</w:t>
      </w:r>
      <w:r w:rsidR="005461E2" w:rsidRPr="005C7C0B">
        <w:rPr>
          <w:rFonts w:ascii="Calibri" w:hAnsi="Calibri" w:cs="Calibri"/>
        </w:rPr>
        <w:t xml:space="preserve"> It </w:t>
      </w:r>
      <w:r w:rsidRPr="005C7C0B">
        <w:rPr>
          <w:rFonts w:ascii="Calibri" w:hAnsi="Calibri" w:cs="Calibri"/>
        </w:rPr>
        <w:t xml:space="preserve">was </w:t>
      </w:r>
      <w:r w:rsidR="005461E2" w:rsidRPr="005C7C0B">
        <w:rPr>
          <w:rFonts w:ascii="Calibri" w:hAnsi="Calibri" w:cs="Calibri"/>
        </w:rPr>
        <w:t xml:space="preserve">also </w:t>
      </w:r>
      <w:r w:rsidRPr="005C7C0B">
        <w:rPr>
          <w:rFonts w:ascii="Calibri" w:hAnsi="Calibri" w:cs="Calibri"/>
        </w:rPr>
        <w:t xml:space="preserve">a year of </w:t>
      </w:r>
      <w:r w:rsidR="00675860" w:rsidRPr="005C7C0B">
        <w:rPr>
          <w:rFonts w:ascii="Calibri" w:hAnsi="Calibri" w:cs="Calibri"/>
        </w:rPr>
        <w:t>minute</w:t>
      </w:r>
      <w:r w:rsidRPr="005C7C0B">
        <w:rPr>
          <w:rFonts w:ascii="Calibri" w:hAnsi="Calibri" w:cs="Calibri"/>
        </w:rPr>
        <w:t xml:space="preserve"> (and sometimes reversible) change.</w:t>
      </w:r>
      <w:r w:rsidR="00363D51" w:rsidRPr="005C7C0B">
        <w:rPr>
          <w:rFonts w:ascii="Calibri" w:hAnsi="Calibri" w:cs="Calibri"/>
        </w:rPr>
        <w:t xml:space="preserve"> </w:t>
      </w:r>
      <w:r w:rsidR="009B68E5" w:rsidRPr="005C7C0B">
        <w:rPr>
          <w:rFonts w:ascii="Calibri" w:hAnsi="Calibri" w:cs="Calibri"/>
        </w:rPr>
        <w:t>Often lost in the historical shadow of World War I, the events of 1905 illuminate great developments in global politics</w:t>
      </w:r>
      <w:r w:rsidR="008641C6" w:rsidRPr="005C7C0B">
        <w:rPr>
          <w:rFonts w:ascii="Calibri" w:hAnsi="Calibri" w:cs="Calibri"/>
        </w:rPr>
        <w:t xml:space="preserve"> and culture</w:t>
      </w:r>
      <w:r w:rsidR="009B68E5" w:rsidRPr="005C7C0B">
        <w:rPr>
          <w:rFonts w:ascii="Calibri" w:hAnsi="Calibri" w:cs="Calibri"/>
        </w:rPr>
        <w:t xml:space="preserve">, </w:t>
      </w:r>
      <w:r w:rsidR="008641C6" w:rsidRPr="005C7C0B">
        <w:rPr>
          <w:rFonts w:ascii="Calibri" w:hAnsi="Calibri" w:cs="Calibri"/>
        </w:rPr>
        <w:t>gender relationships</w:t>
      </w:r>
      <w:r w:rsidR="009B68E5" w:rsidRPr="005C7C0B">
        <w:rPr>
          <w:rFonts w:ascii="Calibri" w:hAnsi="Calibri" w:cs="Calibri"/>
        </w:rPr>
        <w:t xml:space="preserve">, and </w:t>
      </w:r>
      <w:r w:rsidRPr="005C7C0B">
        <w:rPr>
          <w:rFonts w:ascii="Calibri" w:hAnsi="Calibri" w:cs="Calibri"/>
        </w:rPr>
        <w:t>provocative</w:t>
      </w:r>
      <w:r w:rsidR="009B68E5" w:rsidRPr="005C7C0B">
        <w:rPr>
          <w:rFonts w:ascii="Calibri" w:hAnsi="Calibri" w:cs="Calibri"/>
        </w:rPr>
        <w:t xml:space="preserve"> ideas in our understanding of </w:t>
      </w:r>
      <w:r w:rsidRPr="005C7C0B">
        <w:rPr>
          <w:rFonts w:ascii="Calibri" w:hAnsi="Calibri" w:cs="Calibri"/>
        </w:rPr>
        <w:t>our world</w:t>
      </w:r>
      <w:r w:rsidR="009B68E5" w:rsidRPr="005C7C0B">
        <w:rPr>
          <w:rFonts w:ascii="Calibri" w:hAnsi="Calibri" w:cs="Calibri"/>
        </w:rPr>
        <w:t>. Mundane things happened, too</w:t>
      </w:r>
      <w:r w:rsidR="00974940" w:rsidRPr="005C7C0B">
        <w:rPr>
          <w:rFonts w:ascii="Calibri" w:hAnsi="Calibri" w:cs="Calibri"/>
        </w:rPr>
        <w:t xml:space="preserve">. There were incremental changes in demographics and economics, and everyday people </w:t>
      </w:r>
      <w:r w:rsidR="009B68E5" w:rsidRPr="005C7C0B">
        <w:rPr>
          <w:rFonts w:ascii="Calibri" w:hAnsi="Calibri" w:cs="Calibri"/>
        </w:rPr>
        <w:t>work</w:t>
      </w:r>
      <w:r w:rsidR="00974940" w:rsidRPr="005C7C0B">
        <w:rPr>
          <w:rFonts w:ascii="Calibri" w:hAnsi="Calibri" w:cs="Calibri"/>
        </w:rPr>
        <w:t>ed</w:t>
      </w:r>
      <w:r w:rsidR="009B68E5" w:rsidRPr="005C7C0B">
        <w:rPr>
          <w:rFonts w:ascii="Calibri" w:hAnsi="Calibri" w:cs="Calibri"/>
        </w:rPr>
        <w:t>,</w:t>
      </w:r>
      <w:r w:rsidR="00974940" w:rsidRPr="005C7C0B">
        <w:rPr>
          <w:rFonts w:ascii="Calibri" w:hAnsi="Calibri" w:cs="Calibri"/>
        </w:rPr>
        <w:t xml:space="preserve"> had</w:t>
      </w:r>
      <w:r w:rsidR="009B68E5" w:rsidRPr="005C7C0B">
        <w:rPr>
          <w:rFonts w:ascii="Calibri" w:hAnsi="Calibri" w:cs="Calibri"/>
        </w:rPr>
        <w:t xml:space="preserve"> families, </w:t>
      </w:r>
      <w:r w:rsidR="00974940" w:rsidRPr="005C7C0B">
        <w:rPr>
          <w:rFonts w:ascii="Calibri" w:hAnsi="Calibri" w:cs="Calibri"/>
        </w:rPr>
        <w:t xml:space="preserve">went to </w:t>
      </w:r>
      <w:r w:rsidR="009B68E5" w:rsidRPr="005C7C0B">
        <w:rPr>
          <w:rFonts w:ascii="Calibri" w:hAnsi="Calibri" w:cs="Calibri"/>
        </w:rPr>
        <w:t>school</w:t>
      </w:r>
      <w:r w:rsidR="00974940" w:rsidRPr="005C7C0B">
        <w:rPr>
          <w:rFonts w:ascii="Calibri" w:hAnsi="Calibri" w:cs="Calibri"/>
        </w:rPr>
        <w:t xml:space="preserve">, and experienced both great joy and sadness, </w:t>
      </w:r>
      <w:proofErr w:type="gramStart"/>
      <w:r w:rsidR="00974940" w:rsidRPr="005C7C0B">
        <w:rPr>
          <w:rFonts w:ascii="Calibri" w:hAnsi="Calibri" w:cs="Calibri"/>
        </w:rPr>
        <w:t>excitement</w:t>
      </w:r>
      <w:proofErr w:type="gramEnd"/>
      <w:r w:rsidR="00974940" w:rsidRPr="005C7C0B">
        <w:rPr>
          <w:rFonts w:ascii="Calibri" w:hAnsi="Calibri" w:cs="Calibri"/>
        </w:rPr>
        <w:t xml:space="preserve"> and boredom</w:t>
      </w:r>
      <w:r w:rsidR="009B68E5" w:rsidRPr="005C7C0B">
        <w:rPr>
          <w:rFonts w:ascii="Calibri" w:hAnsi="Calibri" w:cs="Calibri"/>
        </w:rPr>
        <w:t xml:space="preserve">. </w:t>
      </w:r>
    </w:p>
    <w:p w14:paraId="557FEF3C" w14:textId="77777777" w:rsidR="00974940" w:rsidRPr="005C7C0B" w:rsidRDefault="00974940">
      <w:pPr>
        <w:rPr>
          <w:rFonts w:ascii="Calibri" w:hAnsi="Calibri" w:cs="Calibri"/>
        </w:rPr>
      </w:pPr>
    </w:p>
    <w:p w14:paraId="1311B5A2" w14:textId="45B32679" w:rsidR="00363D51" w:rsidRPr="005C7C0B" w:rsidRDefault="00A87C89">
      <w:pPr>
        <w:rPr>
          <w:rFonts w:ascii="Calibri" w:hAnsi="Calibri" w:cs="Calibri"/>
        </w:rPr>
      </w:pPr>
      <w:r>
        <w:rPr>
          <w:rFonts w:ascii="Calibri" w:hAnsi="Calibri" w:cs="Calibri"/>
        </w:rPr>
        <w:t>S</w:t>
      </w:r>
      <w:r w:rsidR="00974940" w:rsidRPr="005C7C0B">
        <w:rPr>
          <w:rFonts w:ascii="Calibri" w:hAnsi="Calibri" w:cs="Calibri"/>
        </w:rPr>
        <w:t xml:space="preserve">tudying </w:t>
      </w:r>
      <w:r w:rsidR="009B68E5" w:rsidRPr="005C7C0B">
        <w:rPr>
          <w:rFonts w:ascii="Calibri" w:hAnsi="Calibri" w:cs="Calibri"/>
        </w:rPr>
        <w:t xml:space="preserve">the events of 1905 </w:t>
      </w:r>
      <w:r w:rsidR="00974940" w:rsidRPr="005C7C0B">
        <w:rPr>
          <w:rFonts w:ascii="Calibri" w:hAnsi="Calibri" w:cs="Calibri"/>
        </w:rPr>
        <w:t xml:space="preserve">can </w:t>
      </w:r>
      <w:r w:rsidR="009B68E5" w:rsidRPr="005C7C0B">
        <w:rPr>
          <w:rFonts w:ascii="Calibri" w:hAnsi="Calibri" w:cs="Calibri"/>
        </w:rPr>
        <w:t xml:space="preserve">give us more than a snapshot of the world at a particular point in time. They </w:t>
      </w:r>
      <w:r w:rsidR="00974940" w:rsidRPr="005C7C0B">
        <w:rPr>
          <w:rFonts w:ascii="Calibri" w:hAnsi="Calibri" w:cs="Calibri"/>
        </w:rPr>
        <w:t>can also demonstrate</w:t>
      </w:r>
      <w:r w:rsidR="009B68E5" w:rsidRPr="005C7C0B">
        <w:rPr>
          <w:rFonts w:ascii="Calibri" w:hAnsi="Calibri" w:cs="Calibri"/>
        </w:rPr>
        <w:t xml:space="preserve"> that every year, every day</w:t>
      </w:r>
      <w:r w:rsidR="00DF0B8E" w:rsidRPr="005C7C0B">
        <w:rPr>
          <w:rFonts w:ascii="Calibri" w:hAnsi="Calibri" w:cs="Calibri"/>
        </w:rPr>
        <w:t xml:space="preserve">, history happens to people and by people. </w:t>
      </w:r>
      <w:r w:rsidR="00974940" w:rsidRPr="005C7C0B">
        <w:rPr>
          <w:rFonts w:ascii="Calibri" w:hAnsi="Calibri" w:cs="Calibri"/>
        </w:rPr>
        <w:t>Looking back, s</w:t>
      </w:r>
      <w:r w:rsidR="00DF0B8E" w:rsidRPr="005C7C0B">
        <w:rPr>
          <w:rFonts w:ascii="Calibri" w:hAnsi="Calibri" w:cs="Calibri"/>
        </w:rPr>
        <w:t xml:space="preserve">ometimes </w:t>
      </w:r>
      <w:r w:rsidR="00974940" w:rsidRPr="005C7C0B">
        <w:rPr>
          <w:rFonts w:ascii="Calibri" w:hAnsi="Calibri" w:cs="Calibri"/>
        </w:rPr>
        <w:t>we will see events that happen earlier as connected</w:t>
      </w:r>
      <w:r w:rsidR="00DF0B8E" w:rsidRPr="005C7C0B">
        <w:rPr>
          <w:rFonts w:ascii="Calibri" w:hAnsi="Calibri" w:cs="Calibri"/>
        </w:rPr>
        <w:t xml:space="preserve"> to longer term development</w:t>
      </w:r>
      <w:r w:rsidR="00974940" w:rsidRPr="005C7C0B">
        <w:rPr>
          <w:rFonts w:ascii="Calibri" w:hAnsi="Calibri" w:cs="Calibri"/>
        </w:rPr>
        <w:t>s</w:t>
      </w:r>
      <w:r w:rsidR="00DF0B8E" w:rsidRPr="005C7C0B">
        <w:rPr>
          <w:rFonts w:ascii="Calibri" w:hAnsi="Calibri" w:cs="Calibri"/>
        </w:rPr>
        <w:t>. Sometimes we will see them as “dead ends.”</w:t>
      </w:r>
      <w:r w:rsidR="00974940" w:rsidRPr="005C7C0B">
        <w:rPr>
          <w:rFonts w:ascii="Calibri" w:hAnsi="Calibri" w:cs="Calibri"/>
        </w:rPr>
        <w:t xml:space="preserve"> </w:t>
      </w:r>
    </w:p>
    <w:p w14:paraId="0D122156" w14:textId="77777777" w:rsidR="00363D51" w:rsidRPr="005C7C0B" w:rsidRDefault="00363D51">
      <w:pPr>
        <w:rPr>
          <w:rFonts w:ascii="Calibri" w:hAnsi="Calibri" w:cs="Calibri"/>
        </w:rPr>
      </w:pPr>
    </w:p>
    <w:p w14:paraId="574859A5" w14:textId="629322C3" w:rsidR="00974940" w:rsidRPr="005C7C0B" w:rsidRDefault="00363D51">
      <w:pPr>
        <w:rPr>
          <w:rFonts w:ascii="Calibri" w:hAnsi="Calibri" w:cs="Calibri"/>
        </w:rPr>
      </w:pPr>
      <w:r w:rsidRPr="005C7C0B">
        <w:rPr>
          <w:rFonts w:ascii="Calibri" w:hAnsi="Calibri" w:cs="Calibri"/>
        </w:rPr>
        <w:t xml:space="preserve">Over the course of the next six lessons, </w:t>
      </w:r>
      <w:r w:rsidR="00DF0B8E" w:rsidRPr="005C7C0B">
        <w:rPr>
          <w:rFonts w:ascii="Calibri" w:hAnsi="Calibri" w:cs="Calibri"/>
        </w:rPr>
        <w:t xml:space="preserve">we will </w:t>
      </w:r>
      <w:r w:rsidR="00974940" w:rsidRPr="005C7C0B">
        <w:rPr>
          <w:rFonts w:ascii="Calibri" w:hAnsi="Calibri" w:cs="Calibri"/>
        </w:rPr>
        <w:t xml:space="preserve">not only </w:t>
      </w:r>
      <w:r w:rsidR="00DF0B8E" w:rsidRPr="005C7C0B">
        <w:rPr>
          <w:rFonts w:ascii="Calibri" w:hAnsi="Calibri" w:cs="Calibri"/>
        </w:rPr>
        <w:t>explore some of the things that happened in 1905</w:t>
      </w:r>
      <w:r w:rsidR="00974940" w:rsidRPr="005C7C0B">
        <w:rPr>
          <w:rFonts w:ascii="Calibri" w:hAnsi="Calibri" w:cs="Calibri"/>
        </w:rPr>
        <w:t xml:space="preserve">, but consider how they </w:t>
      </w:r>
      <w:r w:rsidRPr="005C7C0B">
        <w:rPr>
          <w:rFonts w:ascii="Calibri" w:hAnsi="Calibri" w:cs="Calibri"/>
        </w:rPr>
        <w:t xml:space="preserve">were connected to one another, and </w:t>
      </w:r>
      <w:r w:rsidR="00974940" w:rsidRPr="005C7C0B">
        <w:rPr>
          <w:rFonts w:ascii="Calibri" w:hAnsi="Calibri" w:cs="Calibri"/>
        </w:rPr>
        <w:t xml:space="preserve">have come to fit into the stories we tell today about how our </w:t>
      </w:r>
      <w:r w:rsidR="00F4028D" w:rsidRPr="005C7C0B">
        <w:rPr>
          <w:rFonts w:ascii="Calibri" w:hAnsi="Calibri" w:cs="Calibri"/>
        </w:rPr>
        <w:t xml:space="preserve">world </w:t>
      </w:r>
      <w:r w:rsidR="00DF0B8E" w:rsidRPr="005C7C0B">
        <w:rPr>
          <w:rFonts w:ascii="Calibri" w:hAnsi="Calibri" w:cs="Calibri"/>
        </w:rPr>
        <w:t xml:space="preserve">became the way it is. </w:t>
      </w:r>
      <w:r w:rsidRPr="005C7C0B">
        <w:rPr>
          <w:rFonts w:ascii="Calibri" w:hAnsi="Calibri" w:cs="Calibri"/>
        </w:rPr>
        <w:t xml:space="preserve">In addition, we will also consider how people experienced these events at the time, as well as how they understood and made meaning of them </w:t>
      </w:r>
      <w:proofErr w:type="gramStart"/>
      <w:r w:rsidRPr="005C7C0B">
        <w:rPr>
          <w:rFonts w:ascii="Calibri" w:hAnsi="Calibri" w:cs="Calibri"/>
        </w:rPr>
        <w:t>later on</w:t>
      </w:r>
      <w:proofErr w:type="gramEnd"/>
      <w:r w:rsidRPr="005C7C0B">
        <w:rPr>
          <w:rFonts w:ascii="Calibri" w:hAnsi="Calibri" w:cs="Calibri"/>
        </w:rPr>
        <w:t xml:space="preserve">. </w:t>
      </w:r>
    </w:p>
    <w:p w14:paraId="0D3148F6" w14:textId="77777777" w:rsidR="00363D51" w:rsidRPr="005C7C0B" w:rsidRDefault="00363D51">
      <w:pPr>
        <w:rPr>
          <w:rFonts w:ascii="Calibri" w:hAnsi="Calibri" w:cs="Calibri"/>
        </w:rPr>
      </w:pPr>
    </w:p>
    <w:p w14:paraId="50AF6260" w14:textId="2C2EA525" w:rsidR="00363D51" w:rsidRPr="005C7C0B" w:rsidRDefault="00363D51">
      <w:pPr>
        <w:rPr>
          <w:rFonts w:ascii="Calibri" w:hAnsi="Calibri" w:cs="Calibri"/>
        </w:rPr>
      </w:pPr>
      <w:r w:rsidRPr="005C7C0B">
        <w:rPr>
          <w:rFonts w:ascii="Calibri" w:hAnsi="Calibri" w:cs="Calibri"/>
          <w:color w:val="000000" w:themeColor="text1"/>
        </w:rPr>
        <w:t xml:space="preserve">We designed this module to require roughly six class lessons and about twice the amount of time spent in class preparing. If it takes significantly more than that, you should talk to your professor. It may be that they can offer some useful guidance to you, or it may be that they can offer some guidance to the </w:t>
      </w:r>
      <w:r w:rsidRPr="005C7C0B">
        <w:rPr>
          <w:rFonts w:ascii="Calibri" w:hAnsi="Calibri" w:cs="Calibri"/>
          <w:i/>
          <w:iCs/>
          <w:color w:val="000000" w:themeColor="text1"/>
        </w:rPr>
        <w:t>History for the 21</w:t>
      </w:r>
      <w:r w:rsidRPr="005C7C0B">
        <w:rPr>
          <w:rFonts w:ascii="Calibri" w:hAnsi="Calibri" w:cs="Calibri"/>
          <w:i/>
          <w:iCs/>
          <w:color w:val="000000" w:themeColor="text1"/>
          <w:vertAlign w:val="superscript"/>
        </w:rPr>
        <w:t>st</w:t>
      </w:r>
      <w:r w:rsidRPr="005C7C0B">
        <w:rPr>
          <w:rFonts w:ascii="Calibri" w:hAnsi="Calibri" w:cs="Calibri"/>
          <w:i/>
          <w:iCs/>
          <w:color w:val="000000" w:themeColor="text1"/>
        </w:rPr>
        <w:t xml:space="preserve"> Century </w:t>
      </w:r>
      <w:r w:rsidRPr="005C7C0B">
        <w:rPr>
          <w:rFonts w:ascii="Calibri" w:hAnsi="Calibri" w:cs="Calibri"/>
          <w:color w:val="000000" w:themeColor="text1"/>
        </w:rPr>
        <w:t>project to adjust the module for future students.</w:t>
      </w:r>
    </w:p>
    <w:p w14:paraId="49D89239" w14:textId="77777777" w:rsidR="00363D51" w:rsidRPr="005C7C0B" w:rsidRDefault="00363D51">
      <w:pPr>
        <w:rPr>
          <w:rFonts w:ascii="Calibri" w:hAnsi="Calibri" w:cs="Calibri"/>
        </w:rPr>
      </w:pPr>
    </w:p>
    <w:p w14:paraId="1518407B" w14:textId="77777777" w:rsidR="00363D51" w:rsidRPr="005C7C0B" w:rsidRDefault="00363D51" w:rsidP="00363D51">
      <w:pPr>
        <w:rPr>
          <w:rFonts w:ascii="Calibri" w:hAnsi="Calibri" w:cs="Calibri"/>
          <w:b/>
          <w:bCs/>
        </w:rPr>
      </w:pPr>
      <w:r w:rsidRPr="005C7C0B">
        <w:rPr>
          <w:rFonts w:ascii="Calibri" w:hAnsi="Calibri" w:cs="Calibri"/>
          <w:b/>
          <w:bCs/>
        </w:rPr>
        <w:t xml:space="preserve">Format </w:t>
      </w:r>
    </w:p>
    <w:p w14:paraId="2C1E0D1E" w14:textId="77777777" w:rsidR="00363D51" w:rsidRPr="005C7C0B" w:rsidRDefault="00363D51" w:rsidP="00363D51">
      <w:pPr>
        <w:rPr>
          <w:rFonts w:ascii="Calibri" w:hAnsi="Calibri" w:cs="Calibri"/>
          <w:b/>
          <w:bCs/>
        </w:rPr>
      </w:pPr>
    </w:p>
    <w:p w14:paraId="2D4A0399" w14:textId="51EFFFE2" w:rsidR="00675860" w:rsidRPr="005C7C0B" w:rsidRDefault="00363D51">
      <w:pPr>
        <w:rPr>
          <w:rFonts w:ascii="Calibri" w:hAnsi="Calibri" w:cs="Calibri"/>
        </w:rPr>
      </w:pPr>
      <w:r w:rsidRPr="005C7C0B">
        <w:rPr>
          <w:rFonts w:ascii="Calibri" w:hAnsi="Calibri" w:cs="Calibri"/>
        </w:rPr>
        <w:t xml:space="preserve">In this module, you will work with your instructor and your fellow classmates to cover </w:t>
      </w:r>
      <w:r w:rsidR="00125202" w:rsidRPr="005C7C0B">
        <w:rPr>
          <w:rFonts w:ascii="Calibri" w:hAnsi="Calibri" w:cs="Calibri"/>
        </w:rPr>
        <w:t xml:space="preserve">a series of events and conflicts that illustrate the major contentions of </w:t>
      </w:r>
      <w:r w:rsidRPr="005C7C0B">
        <w:rPr>
          <w:rFonts w:ascii="Calibri" w:hAnsi="Calibri" w:cs="Calibri"/>
        </w:rPr>
        <w:t>1905 and the modern ear.</w:t>
      </w:r>
      <w:r w:rsidR="00125202" w:rsidRPr="005C7C0B">
        <w:rPr>
          <w:rFonts w:ascii="Calibri" w:hAnsi="Calibri" w:cs="Calibri"/>
        </w:rPr>
        <w:t xml:space="preserve"> </w:t>
      </w:r>
      <w:r w:rsidR="00EF6B76" w:rsidRPr="005C7C0B">
        <w:rPr>
          <w:rFonts w:ascii="Calibri" w:hAnsi="Calibri" w:cs="Calibri"/>
        </w:rPr>
        <w:t xml:space="preserve">Among the things we will talk about </w:t>
      </w:r>
      <w:r w:rsidR="00E26CE2" w:rsidRPr="005C7C0B">
        <w:rPr>
          <w:rFonts w:ascii="Calibri" w:hAnsi="Calibri" w:cs="Calibri"/>
        </w:rPr>
        <w:t>are:</w:t>
      </w:r>
    </w:p>
    <w:p w14:paraId="334CFB76" w14:textId="77777777" w:rsidR="00363D51" w:rsidRPr="005C7C0B" w:rsidRDefault="00363D51">
      <w:pPr>
        <w:rPr>
          <w:rFonts w:ascii="Calibri" w:hAnsi="Calibri" w:cs="Calibri"/>
        </w:rPr>
      </w:pPr>
    </w:p>
    <w:p w14:paraId="5507871B" w14:textId="4E050FE4" w:rsidR="00E26CE2" w:rsidRPr="005C7C0B" w:rsidRDefault="00E26CE2" w:rsidP="00E26CE2">
      <w:pPr>
        <w:pStyle w:val="ListParagraph"/>
        <w:numPr>
          <w:ilvl w:val="0"/>
          <w:numId w:val="1"/>
        </w:numPr>
        <w:rPr>
          <w:rFonts w:ascii="Calibri" w:hAnsi="Calibri" w:cs="Calibri"/>
        </w:rPr>
      </w:pPr>
      <w:r w:rsidRPr="005C7C0B">
        <w:rPr>
          <w:rFonts w:ascii="Calibri" w:hAnsi="Calibri" w:cs="Calibri"/>
        </w:rPr>
        <w:t xml:space="preserve">How the Japanese became “modern” very quickly in the late </w:t>
      </w:r>
      <w:r w:rsidR="002722B6" w:rsidRPr="005C7C0B">
        <w:rPr>
          <w:rFonts w:ascii="Calibri" w:hAnsi="Calibri" w:cs="Calibri"/>
        </w:rPr>
        <w:t>19</w:t>
      </w:r>
      <w:r w:rsidR="002722B6" w:rsidRPr="005C7C0B">
        <w:rPr>
          <w:rFonts w:ascii="Calibri" w:hAnsi="Calibri" w:cs="Calibri"/>
          <w:vertAlign w:val="superscript"/>
        </w:rPr>
        <w:t>th</w:t>
      </w:r>
      <w:r w:rsidR="002722B6" w:rsidRPr="005C7C0B">
        <w:rPr>
          <w:rFonts w:ascii="Calibri" w:hAnsi="Calibri" w:cs="Calibri"/>
        </w:rPr>
        <w:t xml:space="preserve"> century</w:t>
      </w:r>
      <w:r w:rsidRPr="005C7C0B">
        <w:rPr>
          <w:rFonts w:ascii="Calibri" w:hAnsi="Calibri" w:cs="Calibri"/>
        </w:rPr>
        <w:t xml:space="preserve"> and surprised everyone by beating the great Russian Empire in </w:t>
      </w:r>
      <w:r w:rsidR="00125202" w:rsidRPr="005C7C0B">
        <w:rPr>
          <w:rFonts w:ascii="Calibri" w:hAnsi="Calibri" w:cs="Calibri"/>
        </w:rPr>
        <w:t xml:space="preserve">the Russo-Japanese war of </w:t>
      </w:r>
      <w:r w:rsidRPr="005C7C0B">
        <w:rPr>
          <w:rFonts w:ascii="Calibri" w:hAnsi="Calibri" w:cs="Calibri"/>
        </w:rPr>
        <w:t>1905</w:t>
      </w:r>
      <w:r w:rsidR="00125202" w:rsidRPr="005C7C0B">
        <w:rPr>
          <w:rFonts w:ascii="Calibri" w:hAnsi="Calibri" w:cs="Calibri"/>
        </w:rPr>
        <w:t>,</w:t>
      </w:r>
      <w:r w:rsidR="00D15E19" w:rsidRPr="005C7C0B">
        <w:rPr>
          <w:rFonts w:ascii="Calibri" w:hAnsi="Calibri" w:cs="Calibri"/>
        </w:rPr>
        <w:t xml:space="preserve"> and the resulting implications for global geopolitics, </w:t>
      </w:r>
      <w:r w:rsidR="009C125A" w:rsidRPr="005C7C0B">
        <w:rPr>
          <w:rFonts w:ascii="Calibri" w:hAnsi="Calibri" w:cs="Calibri"/>
        </w:rPr>
        <w:t xml:space="preserve">the world balance of power, and </w:t>
      </w:r>
      <w:r w:rsidR="00D15E19" w:rsidRPr="005C7C0B">
        <w:rPr>
          <w:rFonts w:ascii="Calibri" w:hAnsi="Calibri" w:cs="Calibri"/>
        </w:rPr>
        <w:t>Russian revolutions.</w:t>
      </w:r>
    </w:p>
    <w:p w14:paraId="333F6C94" w14:textId="32B667AD" w:rsidR="009C125A" w:rsidRPr="005C7C0B" w:rsidRDefault="009C125A" w:rsidP="00E26CE2">
      <w:pPr>
        <w:pStyle w:val="ListParagraph"/>
        <w:numPr>
          <w:ilvl w:val="0"/>
          <w:numId w:val="1"/>
        </w:numPr>
        <w:rPr>
          <w:rFonts w:ascii="Calibri" w:hAnsi="Calibri" w:cs="Calibri"/>
        </w:rPr>
      </w:pPr>
      <w:r w:rsidRPr="005C7C0B">
        <w:rPr>
          <w:rFonts w:ascii="Calibri" w:hAnsi="Calibri" w:cs="Calibri"/>
        </w:rPr>
        <w:lastRenderedPageBreak/>
        <w:t xml:space="preserve">How, in Russia, social conflicts merged with debates about the shape of governance and the inclusion of the population in it, producing a new representative political body whose failure foreshadowed further upheaval. </w:t>
      </w:r>
    </w:p>
    <w:p w14:paraId="286AFD5E" w14:textId="77777777" w:rsidR="00F4028D" w:rsidRPr="005C7C0B" w:rsidRDefault="00F4028D" w:rsidP="00F4028D">
      <w:pPr>
        <w:pStyle w:val="ListParagraph"/>
        <w:numPr>
          <w:ilvl w:val="0"/>
          <w:numId w:val="1"/>
        </w:numPr>
        <w:rPr>
          <w:rFonts w:ascii="Calibri" w:hAnsi="Calibri" w:cs="Calibri"/>
        </w:rPr>
      </w:pPr>
      <w:r w:rsidRPr="005C7C0B">
        <w:rPr>
          <w:rFonts w:ascii="Calibri" w:hAnsi="Calibri" w:cs="Calibri"/>
        </w:rPr>
        <w:t>How women, who had been working towards equal political rights since 1848 in Britain, saw a bill introduced into the Parliament in 1905. The bill wasn’t even allowed to come to a vote, which set off an escalation of women’s efforts that weren’t successful for another sixteen years.</w:t>
      </w:r>
    </w:p>
    <w:p w14:paraId="0E4E1ECD" w14:textId="032C3C86" w:rsidR="00125202" w:rsidRPr="005C7C0B" w:rsidRDefault="00363D51" w:rsidP="009C125A">
      <w:pPr>
        <w:pStyle w:val="ListParagraph"/>
        <w:numPr>
          <w:ilvl w:val="0"/>
          <w:numId w:val="1"/>
        </w:numPr>
        <w:rPr>
          <w:rFonts w:ascii="Calibri" w:hAnsi="Calibri" w:cs="Calibri"/>
        </w:rPr>
      </w:pPr>
      <w:r w:rsidRPr="005C7C0B">
        <w:rPr>
          <w:rFonts w:ascii="Calibri" w:hAnsi="Calibri" w:cs="Calibri"/>
        </w:rPr>
        <w:t>And h</w:t>
      </w:r>
      <w:r w:rsidR="00125202" w:rsidRPr="005C7C0B">
        <w:rPr>
          <w:rFonts w:ascii="Calibri" w:hAnsi="Calibri" w:cs="Calibri"/>
        </w:rPr>
        <w:t>ow, when the British rulers of India decided to reconfigure the administrative structure of several regions, the Partition of Bengal stimulated the rise of Muslim resistance and broader political awareness by both Muslims and Hindus</w:t>
      </w:r>
      <w:r w:rsidR="009C125A" w:rsidRPr="005C7C0B">
        <w:rPr>
          <w:rFonts w:ascii="Calibri" w:hAnsi="Calibri" w:cs="Calibri"/>
        </w:rPr>
        <w:t xml:space="preserve">. And how these developments </w:t>
      </w:r>
      <w:r w:rsidR="00125202" w:rsidRPr="005C7C0B">
        <w:rPr>
          <w:rFonts w:ascii="Calibri" w:hAnsi="Calibri" w:cs="Calibri"/>
        </w:rPr>
        <w:t>contributed to a reversal of the policy six years later and the eventual departure of the British.</w:t>
      </w:r>
    </w:p>
    <w:p w14:paraId="3099180F" w14:textId="18DF013E" w:rsidR="001C3CFB" w:rsidRPr="005C7C0B" w:rsidRDefault="001C3CFB" w:rsidP="001C3CFB">
      <w:pPr>
        <w:rPr>
          <w:rFonts w:ascii="Calibri" w:hAnsi="Calibri" w:cs="Calibri"/>
        </w:rPr>
      </w:pPr>
    </w:p>
    <w:p w14:paraId="048FFFFC" w14:textId="3FF6E559" w:rsidR="00363D51" w:rsidRPr="005C7C0B" w:rsidRDefault="00363D51" w:rsidP="00363D51">
      <w:pPr>
        <w:rPr>
          <w:rFonts w:ascii="Calibri" w:hAnsi="Calibri" w:cs="Calibri"/>
        </w:rPr>
      </w:pPr>
      <w:r w:rsidRPr="005C7C0B">
        <w:rPr>
          <w:rFonts w:ascii="Calibri" w:hAnsi="Calibri" w:cs="Calibri"/>
        </w:rPr>
        <w:t xml:space="preserve">Along the way, you will analyze sets of primary sources that capture events in the moment, as well as demonstrate how people reflected on that moment </w:t>
      </w:r>
      <w:proofErr w:type="gramStart"/>
      <w:r w:rsidRPr="005C7C0B">
        <w:rPr>
          <w:rFonts w:ascii="Calibri" w:hAnsi="Calibri" w:cs="Calibri"/>
        </w:rPr>
        <w:t>later on</w:t>
      </w:r>
      <w:proofErr w:type="gramEnd"/>
      <w:r w:rsidRPr="005C7C0B">
        <w:rPr>
          <w:rFonts w:ascii="Calibri" w:hAnsi="Calibri" w:cs="Calibri"/>
        </w:rPr>
        <w:t xml:space="preserve">. In addition, you will have practiced articulating and analyzing a snapshot in a timeline, connecting events across the globe, and examined how “progress” and “modernity” have unfolded—sometimes in big steps, sometimes in small ones, and sometimes going backwards. You will end with preparing a final assignment that explains your findings. </w:t>
      </w:r>
    </w:p>
    <w:p w14:paraId="5B60C741" w14:textId="77777777" w:rsidR="00363D51" w:rsidRPr="005C7C0B" w:rsidRDefault="00363D51">
      <w:pPr>
        <w:rPr>
          <w:rFonts w:ascii="Calibri" w:hAnsi="Calibri" w:cs="Calibri"/>
        </w:rPr>
      </w:pPr>
    </w:p>
    <w:p w14:paraId="5E2C89E5" w14:textId="77777777" w:rsidR="00363D51" w:rsidRPr="005C7C0B" w:rsidRDefault="00363D51" w:rsidP="00363D51">
      <w:pPr>
        <w:rPr>
          <w:rFonts w:ascii="Calibri" w:hAnsi="Calibri" w:cs="Calibri"/>
          <w:b/>
          <w:bCs/>
        </w:rPr>
      </w:pPr>
      <w:r w:rsidRPr="005C7C0B">
        <w:rPr>
          <w:rFonts w:ascii="Calibri" w:hAnsi="Calibri" w:cs="Calibri"/>
          <w:b/>
          <w:bCs/>
        </w:rPr>
        <w:t>Learning Goals</w:t>
      </w:r>
    </w:p>
    <w:p w14:paraId="6C5CCBC5" w14:textId="7DC9709A" w:rsidR="00F16897" w:rsidRPr="005C7C0B" w:rsidRDefault="00F16897">
      <w:pPr>
        <w:rPr>
          <w:rFonts w:ascii="Calibri" w:hAnsi="Calibri" w:cs="Calibri"/>
        </w:rPr>
      </w:pPr>
    </w:p>
    <w:p w14:paraId="46DDA3E7" w14:textId="6631B3DA" w:rsidR="00FF0DD0" w:rsidRPr="005C7C0B" w:rsidRDefault="00363D51" w:rsidP="00363D51">
      <w:pPr>
        <w:rPr>
          <w:rFonts w:ascii="Calibri" w:hAnsi="Calibri" w:cs="Calibri"/>
        </w:rPr>
      </w:pPr>
      <w:r w:rsidRPr="005C7C0B">
        <w:rPr>
          <w:rFonts w:ascii="Calibri" w:hAnsi="Calibri" w:cs="Calibri"/>
        </w:rPr>
        <w:t xml:space="preserve">The </w:t>
      </w:r>
      <w:r w:rsidR="00A87C89">
        <w:rPr>
          <w:rFonts w:ascii="Calibri" w:hAnsi="Calibri" w:cs="Calibri"/>
        </w:rPr>
        <w:t>key learning goals of this</w:t>
      </w:r>
      <w:r w:rsidRPr="005C7C0B">
        <w:rPr>
          <w:rFonts w:ascii="Calibri" w:hAnsi="Calibri" w:cs="Calibri"/>
        </w:rPr>
        <w:t xml:space="preserve"> module </w:t>
      </w:r>
      <w:r w:rsidR="00A87C89">
        <w:rPr>
          <w:rFonts w:ascii="Calibri" w:hAnsi="Calibri" w:cs="Calibri"/>
        </w:rPr>
        <w:t>are to</w:t>
      </w:r>
      <w:r w:rsidR="00FF0DD0" w:rsidRPr="005C7C0B">
        <w:rPr>
          <w:rFonts w:ascii="Calibri" w:hAnsi="Calibri" w:cs="Calibri"/>
        </w:rPr>
        <w:t xml:space="preserve">: </w:t>
      </w:r>
    </w:p>
    <w:p w14:paraId="6720D4A8" w14:textId="77777777" w:rsidR="00FF0DD0" w:rsidRPr="005C7C0B" w:rsidRDefault="00FF0DD0" w:rsidP="00363D51">
      <w:pPr>
        <w:rPr>
          <w:rFonts w:ascii="Calibri" w:hAnsi="Calibri" w:cs="Calibri"/>
        </w:rPr>
      </w:pPr>
    </w:p>
    <w:p w14:paraId="163FDAD5" w14:textId="77777777" w:rsidR="00FF0DD0" w:rsidRPr="005C7C0B" w:rsidRDefault="00FF0DD0" w:rsidP="00FF0DD0">
      <w:pPr>
        <w:pStyle w:val="ListParagraph"/>
        <w:numPr>
          <w:ilvl w:val="0"/>
          <w:numId w:val="9"/>
        </w:numPr>
        <w:rPr>
          <w:rFonts w:ascii="Calibri" w:hAnsi="Calibri" w:cs="Calibri"/>
        </w:rPr>
      </w:pPr>
      <w:r w:rsidRPr="005C7C0B">
        <w:rPr>
          <w:rFonts w:ascii="Calibri" w:hAnsi="Calibri" w:cs="Calibri"/>
        </w:rPr>
        <w:t>E</w:t>
      </w:r>
      <w:r w:rsidR="00363D51" w:rsidRPr="005C7C0B">
        <w:rPr>
          <w:rFonts w:ascii="Calibri" w:hAnsi="Calibri" w:cs="Calibri"/>
        </w:rPr>
        <w:t xml:space="preserve">ncourage you to consider how people experience and understand events and their significance at the time they occur, and how they reflect on them </w:t>
      </w:r>
      <w:proofErr w:type="gramStart"/>
      <w:r w:rsidR="00363D51" w:rsidRPr="005C7C0B">
        <w:rPr>
          <w:rFonts w:ascii="Calibri" w:hAnsi="Calibri" w:cs="Calibri"/>
        </w:rPr>
        <w:t>later on</w:t>
      </w:r>
      <w:proofErr w:type="gramEnd"/>
      <w:r w:rsidR="00363D51" w:rsidRPr="005C7C0B">
        <w:rPr>
          <w:rFonts w:ascii="Calibri" w:hAnsi="Calibri" w:cs="Calibri"/>
        </w:rPr>
        <w:t xml:space="preserve"> – in essence, to understand the production of history. </w:t>
      </w:r>
    </w:p>
    <w:p w14:paraId="1D9EA86B" w14:textId="43B0CE21" w:rsidR="00363D51" w:rsidRPr="005C7C0B" w:rsidRDefault="00FF0DD0" w:rsidP="00FF0DD0">
      <w:pPr>
        <w:pStyle w:val="ListParagraph"/>
        <w:numPr>
          <w:ilvl w:val="0"/>
          <w:numId w:val="9"/>
        </w:numPr>
        <w:rPr>
          <w:rFonts w:ascii="Calibri" w:hAnsi="Calibri" w:cs="Calibri"/>
        </w:rPr>
      </w:pPr>
      <w:r w:rsidRPr="005C7C0B">
        <w:rPr>
          <w:rFonts w:ascii="Calibri" w:hAnsi="Calibri" w:cs="Calibri"/>
        </w:rPr>
        <w:t xml:space="preserve">Practice </w:t>
      </w:r>
      <w:r w:rsidR="00363D51" w:rsidRPr="005C7C0B">
        <w:rPr>
          <w:rFonts w:ascii="Calibri" w:hAnsi="Calibri" w:cs="Calibri"/>
        </w:rPr>
        <w:t>think</w:t>
      </w:r>
      <w:r w:rsidRPr="005C7C0B">
        <w:rPr>
          <w:rFonts w:ascii="Calibri" w:hAnsi="Calibri" w:cs="Calibri"/>
        </w:rPr>
        <w:t>ing</w:t>
      </w:r>
      <w:r w:rsidR="00363D51" w:rsidRPr="005C7C0B">
        <w:rPr>
          <w:rFonts w:ascii="Calibri" w:hAnsi="Calibri" w:cs="Calibri"/>
        </w:rPr>
        <w:t xml:space="preserve"> both about the ways the events of this single year were connected to one another, as well as the ways they were illustrative of the broader changes of modernity.</w:t>
      </w:r>
    </w:p>
    <w:p w14:paraId="6AAFBFD9" w14:textId="77777777" w:rsidR="00363D51" w:rsidRPr="005C7C0B" w:rsidRDefault="00363D51" w:rsidP="00363D51">
      <w:pPr>
        <w:rPr>
          <w:rFonts w:ascii="Calibri" w:hAnsi="Calibri" w:cs="Calibri"/>
        </w:rPr>
      </w:pPr>
    </w:p>
    <w:p w14:paraId="735FE3C3" w14:textId="14D1DC01" w:rsidR="00363D51" w:rsidRPr="005C7C0B" w:rsidRDefault="00363D51" w:rsidP="00363D51">
      <w:pPr>
        <w:rPr>
          <w:rFonts w:ascii="Calibri" w:hAnsi="Calibri" w:cs="Calibri"/>
        </w:rPr>
      </w:pPr>
      <w:r w:rsidRPr="005C7C0B">
        <w:rPr>
          <w:rFonts w:ascii="Calibri" w:hAnsi="Calibri" w:cs="Calibri"/>
        </w:rPr>
        <w:t xml:space="preserve">To accomplish these goals, </w:t>
      </w:r>
      <w:r w:rsidR="00FF0DD0" w:rsidRPr="005C7C0B">
        <w:rPr>
          <w:rFonts w:ascii="Calibri" w:hAnsi="Calibri" w:cs="Calibri"/>
        </w:rPr>
        <w:t>you will also</w:t>
      </w:r>
      <w:r w:rsidRPr="005C7C0B">
        <w:rPr>
          <w:rFonts w:ascii="Calibri" w:hAnsi="Calibri" w:cs="Calibri"/>
        </w:rPr>
        <w:t xml:space="preserve"> practice skills the following historical skills: </w:t>
      </w:r>
    </w:p>
    <w:p w14:paraId="40B19A50" w14:textId="77777777" w:rsidR="00363D51" w:rsidRPr="005C7C0B" w:rsidRDefault="00363D51" w:rsidP="00363D51">
      <w:pPr>
        <w:rPr>
          <w:rFonts w:ascii="Calibri" w:hAnsi="Calibri" w:cs="Calibri"/>
        </w:rPr>
      </w:pPr>
    </w:p>
    <w:p w14:paraId="7879CD3F" w14:textId="77777777" w:rsidR="00363D51" w:rsidRPr="005C7C0B" w:rsidRDefault="00363D51" w:rsidP="00363D51">
      <w:pPr>
        <w:pStyle w:val="ListParagraph"/>
        <w:numPr>
          <w:ilvl w:val="0"/>
          <w:numId w:val="8"/>
        </w:numPr>
        <w:contextualSpacing w:val="0"/>
        <w:rPr>
          <w:rFonts w:ascii="Calibri" w:hAnsi="Calibri" w:cs="Calibri"/>
        </w:rPr>
      </w:pPr>
      <w:r w:rsidRPr="005C7C0B">
        <w:rPr>
          <w:rFonts w:ascii="Calibri" w:hAnsi="Calibri" w:cs="Calibri"/>
        </w:rPr>
        <w:t>Analyzing individual primary sources from different perspectives and moments in history.</w:t>
      </w:r>
    </w:p>
    <w:p w14:paraId="73C3D016" w14:textId="77777777" w:rsidR="00363D51" w:rsidRPr="005C7C0B" w:rsidRDefault="00363D51" w:rsidP="00363D51">
      <w:pPr>
        <w:pStyle w:val="ListParagraph"/>
        <w:numPr>
          <w:ilvl w:val="0"/>
          <w:numId w:val="8"/>
        </w:numPr>
        <w:contextualSpacing w:val="0"/>
        <w:rPr>
          <w:rFonts w:ascii="Calibri" w:hAnsi="Calibri" w:cs="Calibri"/>
        </w:rPr>
      </w:pPr>
      <w:r w:rsidRPr="005C7C0B">
        <w:rPr>
          <w:rFonts w:ascii="Calibri" w:hAnsi="Calibri" w:cs="Calibri"/>
        </w:rPr>
        <w:t>Synthesizing multiple historical sources to gain a fuller picture of a particular event.</w:t>
      </w:r>
    </w:p>
    <w:p w14:paraId="5E1DF58E" w14:textId="77777777" w:rsidR="005C7C0B" w:rsidRPr="00FF0DD0" w:rsidRDefault="005C7C0B" w:rsidP="005C7C0B">
      <w:pPr>
        <w:pStyle w:val="ListParagraph"/>
        <w:contextualSpacing w:val="0"/>
        <w:rPr>
          <w:rFonts w:ascii="Calibri" w:hAnsi="Calibri" w:cs="Calibri"/>
        </w:rPr>
      </w:pPr>
    </w:p>
    <w:p w14:paraId="73D99950" w14:textId="77777777" w:rsidR="00FF0DD0" w:rsidRPr="005C7C0B" w:rsidRDefault="00FF0DD0" w:rsidP="00FF0DD0">
      <w:pPr>
        <w:pStyle w:val="Style1"/>
        <w:jc w:val="center"/>
        <w:rPr>
          <w:rFonts w:ascii="Calibri" w:hAnsi="Calibri" w:cs="Calibri"/>
          <w:b/>
          <w:bCs/>
          <w:sz w:val="28"/>
          <w:szCs w:val="28"/>
        </w:rPr>
      </w:pPr>
      <w:r w:rsidRPr="005C7C0B">
        <w:rPr>
          <w:rFonts w:ascii="Calibri" w:hAnsi="Calibri" w:cs="Calibri"/>
          <w:b/>
          <w:bCs/>
          <w:sz w:val="28"/>
          <w:szCs w:val="28"/>
        </w:rPr>
        <w:t>Schedule and Readings</w:t>
      </w:r>
    </w:p>
    <w:p w14:paraId="7DDB90FD" w14:textId="77777777" w:rsidR="00FF0DD0" w:rsidRPr="005C7C0B" w:rsidRDefault="00FF0DD0" w:rsidP="00FF0DD0">
      <w:pPr>
        <w:pStyle w:val="Style1"/>
        <w:jc w:val="center"/>
        <w:rPr>
          <w:rFonts w:ascii="Calibri" w:hAnsi="Calibri" w:cs="Calibri"/>
          <w:b/>
          <w:bCs/>
          <w:sz w:val="24"/>
          <w:szCs w:val="24"/>
        </w:rPr>
      </w:pPr>
    </w:p>
    <w:tbl>
      <w:tblPr>
        <w:tblStyle w:val="TableGrid"/>
        <w:tblW w:w="9450" w:type="dxa"/>
        <w:tblInd w:w="-5" w:type="dxa"/>
        <w:tblLayout w:type="fixed"/>
        <w:tblLook w:val="04A0" w:firstRow="1" w:lastRow="0" w:firstColumn="1" w:lastColumn="0" w:noHBand="0" w:noVBand="1"/>
      </w:tblPr>
      <w:tblGrid>
        <w:gridCol w:w="2250"/>
        <w:gridCol w:w="3330"/>
        <w:gridCol w:w="3870"/>
      </w:tblGrid>
      <w:tr w:rsidR="00FF0DD0" w:rsidRPr="005C7C0B" w14:paraId="0723B11C" w14:textId="77777777" w:rsidTr="005C7C0B">
        <w:tc>
          <w:tcPr>
            <w:tcW w:w="2250" w:type="dxa"/>
          </w:tcPr>
          <w:p w14:paraId="6B562EB9" w14:textId="77777777" w:rsidR="00FF0DD0" w:rsidRPr="005C7C0B" w:rsidRDefault="00FF0DD0" w:rsidP="008B1474">
            <w:pPr>
              <w:spacing w:line="252" w:lineRule="auto"/>
              <w:rPr>
                <w:b/>
                <w:color w:val="000000" w:themeColor="text1"/>
              </w:rPr>
            </w:pPr>
            <w:r w:rsidRPr="005C7C0B">
              <w:rPr>
                <w:rFonts w:ascii="Calibri" w:hAnsi="Calibri" w:cs="Calibri"/>
                <w:b/>
                <w:color w:val="000000" w:themeColor="text1"/>
              </w:rPr>
              <w:t>Topic</w:t>
            </w:r>
          </w:p>
        </w:tc>
        <w:tc>
          <w:tcPr>
            <w:tcW w:w="3330" w:type="dxa"/>
          </w:tcPr>
          <w:p w14:paraId="644B4FF0" w14:textId="77777777" w:rsidR="00FF0DD0" w:rsidRPr="005C7C0B" w:rsidRDefault="00FF0DD0" w:rsidP="008B1474">
            <w:pPr>
              <w:spacing w:line="252" w:lineRule="auto"/>
              <w:rPr>
                <w:b/>
                <w:color w:val="000000" w:themeColor="text1"/>
              </w:rPr>
            </w:pPr>
            <w:r w:rsidRPr="005C7C0B">
              <w:rPr>
                <w:rFonts w:ascii="Calibri" w:hAnsi="Calibri" w:cs="Calibri"/>
                <w:b/>
                <w:color w:val="000000" w:themeColor="text1"/>
              </w:rPr>
              <w:t>Readings before the class</w:t>
            </w:r>
          </w:p>
        </w:tc>
        <w:tc>
          <w:tcPr>
            <w:tcW w:w="3870" w:type="dxa"/>
          </w:tcPr>
          <w:p w14:paraId="38469735" w14:textId="77777777" w:rsidR="00FF0DD0" w:rsidRPr="005C7C0B" w:rsidRDefault="00FF0DD0" w:rsidP="008B1474">
            <w:pPr>
              <w:spacing w:line="252" w:lineRule="auto"/>
              <w:rPr>
                <w:b/>
                <w:color w:val="000000" w:themeColor="text1"/>
              </w:rPr>
            </w:pPr>
            <w:r w:rsidRPr="005C7C0B">
              <w:rPr>
                <w:rFonts w:ascii="Calibri" w:hAnsi="Calibri" w:cs="Calibri"/>
                <w:b/>
                <w:color w:val="000000" w:themeColor="text1"/>
              </w:rPr>
              <w:t>In-class activities</w:t>
            </w:r>
          </w:p>
        </w:tc>
      </w:tr>
      <w:tr w:rsidR="00FF0DD0" w:rsidRPr="005C7C0B" w14:paraId="5AEA812F" w14:textId="77777777" w:rsidTr="005C7C0B">
        <w:tc>
          <w:tcPr>
            <w:tcW w:w="2250" w:type="dxa"/>
          </w:tcPr>
          <w:p w14:paraId="7F4E4560" w14:textId="77777777" w:rsidR="00FF0DD0" w:rsidRPr="005C7C0B" w:rsidRDefault="00FF0DD0" w:rsidP="008B1474">
            <w:pPr>
              <w:spacing w:line="252" w:lineRule="auto"/>
              <w:rPr>
                <w:rFonts w:ascii="Calibri" w:hAnsi="Calibri" w:cs="Calibri"/>
                <w:b/>
                <w:color w:val="000000" w:themeColor="text1"/>
              </w:rPr>
            </w:pPr>
            <w:r w:rsidRPr="005C7C0B">
              <w:rPr>
                <w:rFonts w:ascii="Calibri" w:hAnsi="Calibri" w:cs="Calibri"/>
                <w:b/>
                <w:color w:val="000000" w:themeColor="text1"/>
              </w:rPr>
              <w:t>Before the module</w:t>
            </w:r>
          </w:p>
        </w:tc>
        <w:tc>
          <w:tcPr>
            <w:tcW w:w="3330" w:type="dxa"/>
          </w:tcPr>
          <w:p w14:paraId="78C87BA4" w14:textId="77777777" w:rsidR="00FF0DD0" w:rsidRPr="005C7C0B" w:rsidRDefault="00FF0DD0" w:rsidP="00FF0DD0">
            <w:pPr>
              <w:pStyle w:val="ListParagraph"/>
              <w:numPr>
                <w:ilvl w:val="0"/>
                <w:numId w:val="10"/>
              </w:numPr>
              <w:autoSpaceDE w:val="0"/>
              <w:autoSpaceDN w:val="0"/>
              <w:adjustRightInd w:val="0"/>
              <w:spacing w:line="252" w:lineRule="auto"/>
              <w:rPr>
                <w:rFonts w:ascii="Calibri" w:hAnsi="Calibri" w:cs="Calibri"/>
                <w:color w:val="353535"/>
              </w:rPr>
            </w:pPr>
            <w:r w:rsidRPr="005C7C0B">
              <w:rPr>
                <w:rFonts w:ascii="Calibri" w:hAnsi="Calibri" w:cs="Calibri"/>
                <w:color w:val="353535"/>
              </w:rPr>
              <w:t>About this Module</w:t>
            </w:r>
          </w:p>
          <w:p w14:paraId="3E3C47E0" w14:textId="77777777" w:rsidR="00FF0DD0" w:rsidRPr="005C7C0B" w:rsidRDefault="00FF0DD0" w:rsidP="008B1474">
            <w:pPr>
              <w:autoSpaceDE w:val="0"/>
              <w:autoSpaceDN w:val="0"/>
              <w:adjustRightInd w:val="0"/>
              <w:spacing w:line="252" w:lineRule="auto"/>
              <w:rPr>
                <w:rFonts w:ascii="Calibri" w:hAnsi="Calibri" w:cs="Calibri"/>
                <w:color w:val="353535"/>
              </w:rPr>
            </w:pPr>
          </w:p>
          <w:p w14:paraId="299E3B9C" w14:textId="77777777" w:rsidR="00FF0DD0" w:rsidRPr="005C7C0B" w:rsidRDefault="00FF0DD0" w:rsidP="008B1474">
            <w:pPr>
              <w:autoSpaceDE w:val="0"/>
              <w:autoSpaceDN w:val="0"/>
              <w:adjustRightInd w:val="0"/>
              <w:spacing w:line="252" w:lineRule="auto"/>
              <w:rPr>
                <w:rFonts w:ascii="Calibri" w:hAnsi="Calibri" w:cs="Calibri"/>
                <w:color w:val="353535"/>
              </w:rPr>
            </w:pPr>
          </w:p>
        </w:tc>
        <w:tc>
          <w:tcPr>
            <w:tcW w:w="3870" w:type="dxa"/>
          </w:tcPr>
          <w:p w14:paraId="3661A457" w14:textId="77777777" w:rsidR="00FF0DD0" w:rsidRPr="005C7C0B" w:rsidRDefault="00FF0DD0" w:rsidP="008B1474">
            <w:pPr>
              <w:spacing w:line="252" w:lineRule="auto"/>
              <w:rPr>
                <w:rFonts w:ascii="Calibri" w:hAnsi="Calibri" w:cs="Calibri"/>
                <w:color w:val="000000" w:themeColor="text1"/>
              </w:rPr>
            </w:pPr>
          </w:p>
        </w:tc>
      </w:tr>
      <w:tr w:rsidR="00FF0DD0" w:rsidRPr="005C7C0B" w14:paraId="6C7D07D1" w14:textId="77777777" w:rsidTr="005C7C0B">
        <w:tc>
          <w:tcPr>
            <w:tcW w:w="2250" w:type="dxa"/>
          </w:tcPr>
          <w:p w14:paraId="716AD145" w14:textId="77777777" w:rsidR="00FF0DD0" w:rsidRPr="005C7C0B" w:rsidRDefault="00FF0DD0" w:rsidP="008B1474">
            <w:pPr>
              <w:spacing w:line="252" w:lineRule="auto"/>
              <w:rPr>
                <w:rFonts w:ascii="Calibri" w:hAnsi="Calibri" w:cs="Calibri"/>
                <w:b/>
                <w:color w:val="000000" w:themeColor="text1"/>
              </w:rPr>
            </w:pPr>
            <w:r w:rsidRPr="005C7C0B">
              <w:rPr>
                <w:rFonts w:ascii="Calibri" w:hAnsi="Calibri" w:cs="Calibri"/>
                <w:b/>
                <w:color w:val="000000" w:themeColor="text1"/>
              </w:rPr>
              <w:lastRenderedPageBreak/>
              <w:t xml:space="preserve">Lesson 1: Introduction and Theorizing Empires </w:t>
            </w:r>
          </w:p>
        </w:tc>
        <w:tc>
          <w:tcPr>
            <w:tcW w:w="3330" w:type="dxa"/>
          </w:tcPr>
          <w:p w14:paraId="41C95B43" w14:textId="55B08376" w:rsidR="00FF0DD0" w:rsidRPr="005C7C0B" w:rsidRDefault="00FF0DD0" w:rsidP="00FF0DD0">
            <w:pPr>
              <w:pStyle w:val="ListParagraph"/>
              <w:numPr>
                <w:ilvl w:val="0"/>
                <w:numId w:val="10"/>
              </w:numPr>
              <w:spacing w:line="252" w:lineRule="auto"/>
              <w:rPr>
                <w:rFonts w:ascii="Calibri" w:hAnsi="Calibri" w:cs="Calibri"/>
                <w:color w:val="353535"/>
              </w:rPr>
            </w:pPr>
            <w:r w:rsidRPr="005C7C0B">
              <w:rPr>
                <w:rFonts w:ascii="Calibri" w:hAnsi="Calibri" w:cs="Calibri"/>
                <w:bCs/>
                <w:color w:val="000000" w:themeColor="text1"/>
              </w:rPr>
              <w:t>Reading 1: An Introduction to 1905</w:t>
            </w:r>
          </w:p>
          <w:p w14:paraId="64BEEE9B" w14:textId="77777777" w:rsidR="00FF0DD0" w:rsidRPr="005C7C0B" w:rsidRDefault="00FF0DD0" w:rsidP="008B1474">
            <w:pPr>
              <w:spacing w:line="252" w:lineRule="auto"/>
              <w:rPr>
                <w:rFonts w:ascii="Calibri" w:hAnsi="Calibri" w:cs="Calibri"/>
                <w:color w:val="000000" w:themeColor="text1"/>
              </w:rPr>
            </w:pPr>
          </w:p>
        </w:tc>
        <w:tc>
          <w:tcPr>
            <w:tcW w:w="3870" w:type="dxa"/>
          </w:tcPr>
          <w:p w14:paraId="29003422" w14:textId="77777777" w:rsidR="005C7C0B" w:rsidRPr="005C7C0B" w:rsidRDefault="005C7C0B" w:rsidP="005C7C0B">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 xml:space="preserve">Consider the experience of events in the present and in historical </w:t>
            </w:r>
            <w:proofErr w:type="gramStart"/>
            <w:r w:rsidRPr="005C7C0B">
              <w:rPr>
                <w:rFonts w:ascii="Calibri" w:hAnsi="Calibri" w:cs="Calibri"/>
                <w:bCs/>
                <w:color w:val="000000" w:themeColor="text1"/>
              </w:rPr>
              <w:t>memory</w:t>
            </w:r>
            <w:proofErr w:type="gramEnd"/>
          </w:p>
          <w:p w14:paraId="07DCD18C" w14:textId="77777777" w:rsidR="005C7C0B" w:rsidRPr="005C7C0B" w:rsidRDefault="005C7C0B" w:rsidP="005C7C0B">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Introduce features of “</w:t>
            </w:r>
            <w:proofErr w:type="gramStart"/>
            <w:r w:rsidRPr="005C7C0B">
              <w:rPr>
                <w:rFonts w:ascii="Calibri" w:hAnsi="Calibri" w:cs="Calibri"/>
                <w:bCs/>
                <w:color w:val="000000" w:themeColor="text1"/>
              </w:rPr>
              <w:t>modernity”</w:t>
            </w:r>
            <w:proofErr w:type="gramEnd"/>
            <w:r w:rsidRPr="005C7C0B">
              <w:rPr>
                <w:rFonts w:ascii="Calibri" w:hAnsi="Calibri" w:cs="Calibri"/>
                <w:bCs/>
                <w:color w:val="000000" w:themeColor="text1"/>
              </w:rPr>
              <w:t xml:space="preserve"> </w:t>
            </w:r>
          </w:p>
          <w:p w14:paraId="499ECF21" w14:textId="3D5FAF7E" w:rsidR="00FF0DD0" w:rsidRPr="005C7C0B" w:rsidRDefault="005C7C0B" w:rsidP="005C7C0B">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Introduce module-case-studies and key questions</w:t>
            </w:r>
          </w:p>
        </w:tc>
      </w:tr>
      <w:tr w:rsidR="00FF0DD0" w:rsidRPr="005C7C0B" w14:paraId="6C796FFE" w14:textId="77777777" w:rsidTr="005C7C0B">
        <w:tc>
          <w:tcPr>
            <w:tcW w:w="2250" w:type="dxa"/>
          </w:tcPr>
          <w:p w14:paraId="13A1CD2C" w14:textId="77777777" w:rsidR="00FF0DD0" w:rsidRPr="005C7C0B" w:rsidRDefault="00FF0DD0" w:rsidP="008B1474">
            <w:pPr>
              <w:spacing w:line="252" w:lineRule="auto"/>
              <w:rPr>
                <w:rFonts w:ascii="Calibri" w:hAnsi="Calibri" w:cs="Calibri"/>
                <w:b/>
                <w:color w:val="000000" w:themeColor="text1"/>
              </w:rPr>
            </w:pPr>
            <w:r w:rsidRPr="005C7C0B">
              <w:rPr>
                <w:rFonts w:ascii="Calibri" w:hAnsi="Calibri" w:cs="Calibri"/>
                <w:b/>
                <w:color w:val="000000" w:themeColor="text1"/>
              </w:rPr>
              <w:t xml:space="preserve">Lesson 2: </w:t>
            </w:r>
          </w:p>
          <w:p w14:paraId="4148C85B" w14:textId="77777777" w:rsidR="00FF0DD0" w:rsidRPr="005C7C0B" w:rsidRDefault="00FF0DD0" w:rsidP="008B1474">
            <w:pPr>
              <w:spacing w:line="252" w:lineRule="auto"/>
              <w:rPr>
                <w:rFonts w:ascii="Calibri" w:hAnsi="Calibri" w:cs="Calibri"/>
                <w:b/>
                <w:color w:val="000000" w:themeColor="text1"/>
              </w:rPr>
            </w:pPr>
            <w:r w:rsidRPr="005C7C0B">
              <w:rPr>
                <w:rFonts w:ascii="Calibri" w:hAnsi="Calibri" w:cs="Calibri"/>
                <w:b/>
                <w:color w:val="000000" w:themeColor="text1"/>
              </w:rPr>
              <w:t xml:space="preserve">Early Imperial Strategies </w:t>
            </w:r>
          </w:p>
        </w:tc>
        <w:tc>
          <w:tcPr>
            <w:tcW w:w="3330" w:type="dxa"/>
          </w:tcPr>
          <w:p w14:paraId="16D78C74" w14:textId="1A344B9C" w:rsidR="00FF0DD0" w:rsidRPr="005C7C0B" w:rsidRDefault="00FF0DD0" w:rsidP="00FF0DD0">
            <w:pPr>
              <w:pStyle w:val="ListParagraph"/>
              <w:numPr>
                <w:ilvl w:val="0"/>
                <w:numId w:val="16"/>
              </w:numPr>
              <w:spacing w:line="252" w:lineRule="auto"/>
              <w:rPr>
                <w:rFonts w:ascii="Calibri" w:hAnsi="Calibri" w:cs="Calibri"/>
                <w:bCs/>
                <w:color w:val="000000" w:themeColor="text1"/>
              </w:rPr>
            </w:pPr>
            <w:r w:rsidRPr="005C7C0B">
              <w:rPr>
                <w:rFonts w:ascii="Calibri" w:hAnsi="Calibri" w:cs="Calibri"/>
                <w:bCs/>
                <w:color w:val="000000" w:themeColor="text1"/>
              </w:rPr>
              <w:t>Reading 2: The Russo-Japanese War</w:t>
            </w:r>
          </w:p>
          <w:p w14:paraId="2BCFB9AC" w14:textId="5B12CFED" w:rsidR="00FF0DD0" w:rsidRPr="005C7C0B" w:rsidRDefault="00FF0DD0" w:rsidP="00FF0DD0">
            <w:pPr>
              <w:pStyle w:val="ListParagraph"/>
              <w:numPr>
                <w:ilvl w:val="0"/>
                <w:numId w:val="16"/>
              </w:numPr>
              <w:spacing w:line="252" w:lineRule="auto"/>
              <w:rPr>
                <w:rFonts w:ascii="Calibri" w:hAnsi="Calibri" w:cs="Calibri"/>
                <w:color w:val="000000" w:themeColor="text1"/>
              </w:rPr>
            </w:pPr>
            <w:r w:rsidRPr="005C7C0B">
              <w:rPr>
                <w:rFonts w:ascii="Calibri" w:hAnsi="Calibri" w:cs="Calibri"/>
                <w:bCs/>
                <w:color w:val="000000" w:themeColor="text1"/>
              </w:rPr>
              <w:t>Primary Sources: The Russo Japanese War</w:t>
            </w:r>
          </w:p>
          <w:p w14:paraId="6633EC38" w14:textId="77777777" w:rsidR="00FF0DD0" w:rsidRPr="005C7C0B" w:rsidRDefault="00FF0DD0" w:rsidP="008B1474">
            <w:pPr>
              <w:spacing w:line="252" w:lineRule="auto"/>
              <w:rPr>
                <w:rFonts w:ascii="Calibri" w:hAnsi="Calibri" w:cs="Calibri"/>
                <w:color w:val="000000" w:themeColor="text1"/>
              </w:rPr>
            </w:pPr>
          </w:p>
          <w:p w14:paraId="70FA1561" w14:textId="77777777" w:rsidR="00FF0DD0" w:rsidRPr="005C7C0B" w:rsidRDefault="00FF0DD0" w:rsidP="008B1474">
            <w:pPr>
              <w:spacing w:line="252" w:lineRule="auto"/>
              <w:rPr>
                <w:rFonts w:ascii="Calibri" w:hAnsi="Calibri" w:cs="Calibri"/>
                <w:color w:val="000000" w:themeColor="text1"/>
              </w:rPr>
            </w:pPr>
          </w:p>
        </w:tc>
        <w:tc>
          <w:tcPr>
            <w:tcW w:w="3870" w:type="dxa"/>
          </w:tcPr>
          <w:p w14:paraId="2E1CBB05" w14:textId="77777777" w:rsidR="005C7C0B" w:rsidRPr="005C7C0B" w:rsidRDefault="005C7C0B" w:rsidP="005C7C0B">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Consider the historical context and events of the Russo-Japanese War</w:t>
            </w:r>
          </w:p>
          <w:p w14:paraId="1F3F7A92" w14:textId="77777777" w:rsidR="005C7C0B" w:rsidRPr="005C7C0B" w:rsidRDefault="005C7C0B" w:rsidP="005C7C0B">
            <w:pPr>
              <w:pStyle w:val="ListParagraph"/>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 xml:space="preserve">Examine the ways individual contexts shaped interpretations and expectations of the war before, during, and after it had </w:t>
            </w:r>
            <w:proofErr w:type="gramStart"/>
            <w:r w:rsidRPr="005C7C0B">
              <w:rPr>
                <w:rFonts w:ascii="Calibri" w:hAnsi="Calibri" w:cs="Calibri"/>
                <w:bCs/>
                <w:color w:val="000000" w:themeColor="text1"/>
              </w:rPr>
              <w:t>occurred</w:t>
            </w:r>
            <w:proofErr w:type="gramEnd"/>
            <w:r w:rsidRPr="005C7C0B">
              <w:rPr>
                <w:rFonts w:ascii="Calibri" w:hAnsi="Calibri" w:cs="Calibri"/>
                <w:bCs/>
                <w:color w:val="000000" w:themeColor="text1"/>
              </w:rPr>
              <w:t xml:space="preserve"> </w:t>
            </w:r>
          </w:p>
          <w:p w14:paraId="09B7D52A" w14:textId="614DFF04" w:rsidR="00FF0DD0" w:rsidRPr="005C7C0B" w:rsidRDefault="005C7C0B" w:rsidP="005C7C0B">
            <w:pPr>
              <w:numPr>
                <w:ilvl w:val="0"/>
                <w:numId w:val="12"/>
              </w:numPr>
              <w:spacing w:line="252" w:lineRule="auto"/>
              <w:rPr>
                <w:rFonts w:ascii="Calibri" w:hAnsi="Calibri" w:cs="Calibri"/>
                <w:bCs/>
                <w:color w:val="000000" w:themeColor="text1"/>
              </w:rPr>
            </w:pPr>
            <w:r w:rsidRPr="005C7C0B">
              <w:rPr>
                <w:rFonts w:ascii="Calibri" w:hAnsi="Calibri" w:cs="Calibri"/>
                <w:bCs/>
                <w:color w:val="000000" w:themeColor="text1"/>
              </w:rPr>
              <w:t>Consider how the war reflected trends of the modern era</w:t>
            </w:r>
          </w:p>
        </w:tc>
      </w:tr>
      <w:tr w:rsidR="00FF0DD0" w:rsidRPr="005C7C0B" w14:paraId="2CADB390" w14:textId="77777777" w:rsidTr="005C7C0B">
        <w:tc>
          <w:tcPr>
            <w:tcW w:w="2250" w:type="dxa"/>
          </w:tcPr>
          <w:p w14:paraId="2FC245D5" w14:textId="0EE80759" w:rsidR="00FF0DD0" w:rsidRPr="005C7C0B" w:rsidRDefault="00FF0DD0" w:rsidP="008B1474">
            <w:pPr>
              <w:spacing w:line="252" w:lineRule="auto"/>
              <w:rPr>
                <w:b/>
                <w:color w:val="000000" w:themeColor="text1"/>
              </w:rPr>
            </w:pPr>
            <w:r w:rsidRPr="005C7C0B">
              <w:rPr>
                <w:rFonts w:ascii="Calibri" w:hAnsi="Calibri" w:cs="Calibri"/>
                <w:b/>
                <w:color w:val="000000" w:themeColor="text1"/>
              </w:rPr>
              <w:t>Lesson 3: A Russian Revolution</w:t>
            </w:r>
          </w:p>
        </w:tc>
        <w:tc>
          <w:tcPr>
            <w:tcW w:w="3330" w:type="dxa"/>
          </w:tcPr>
          <w:p w14:paraId="070D1426" w14:textId="542D7F0C" w:rsidR="00FF0DD0" w:rsidRPr="005C7C0B" w:rsidRDefault="00FF0DD0" w:rsidP="00FF0DD0">
            <w:pPr>
              <w:pStyle w:val="ListParagraph"/>
              <w:numPr>
                <w:ilvl w:val="0"/>
                <w:numId w:val="17"/>
              </w:numPr>
              <w:spacing w:line="252" w:lineRule="auto"/>
              <w:rPr>
                <w:rFonts w:ascii="Calibri" w:hAnsi="Calibri" w:cs="Calibri"/>
                <w:bCs/>
                <w:color w:val="000000" w:themeColor="text1"/>
              </w:rPr>
            </w:pPr>
            <w:r w:rsidRPr="005C7C0B">
              <w:rPr>
                <w:rFonts w:ascii="Calibri" w:hAnsi="Calibri" w:cs="Calibri"/>
                <w:bCs/>
                <w:color w:val="000000" w:themeColor="text1"/>
              </w:rPr>
              <w:t>Reading 3: A Russian Revolution</w:t>
            </w:r>
          </w:p>
          <w:p w14:paraId="4F2030D6" w14:textId="20FE6C38" w:rsidR="00FF0DD0" w:rsidRPr="005C7C0B" w:rsidRDefault="00FF0DD0" w:rsidP="00FF0DD0">
            <w:pPr>
              <w:pStyle w:val="ListParagraph"/>
              <w:numPr>
                <w:ilvl w:val="0"/>
                <w:numId w:val="17"/>
              </w:numPr>
              <w:spacing w:line="252" w:lineRule="auto"/>
              <w:rPr>
                <w:color w:val="000000" w:themeColor="text1"/>
              </w:rPr>
            </w:pPr>
            <w:r w:rsidRPr="005C7C0B">
              <w:rPr>
                <w:rFonts w:ascii="Calibri" w:hAnsi="Calibri" w:cs="Calibri"/>
                <w:bCs/>
                <w:color w:val="000000" w:themeColor="text1"/>
              </w:rPr>
              <w:t>Primary Sources: A Russian Revolution</w:t>
            </w:r>
          </w:p>
          <w:p w14:paraId="1BCAACF4" w14:textId="77777777" w:rsidR="00FF0DD0" w:rsidRPr="005C7C0B" w:rsidRDefault="00FF0DD0" w:rsidP="008B1474">
            <w:pPr>
              <w:spacing w:line="252" w:lineRule="auto"/>
              <w:rPr>
                <w:color w:val="000000" w:themeColor="text1"/>
              </w:rPr>
            </w:pPr>
          </w:p>
          <w:p w14:paraId="4959DA7E" w14:textId="77777777" w:rsidR="00FF0DD0" w:rsidRPr="005C7C0B" w:rsidRDefault="00FF0DD0" w:rsidP="008B1474">
            <w:pPr>
              <w:spacing w:line="252" w:lineRule="auto"/>
              <w:rPr>
                <w:color w:val="000000" w:themeColor="text1"/>
              </w:rPr>
            </w:pPr>
          </w:p>
        </w:tc>
        <w:tc>
          <w:tcPr>
            <w:tcW w:w="3870" w:type="dxa"/>
          </w:tcPr>
          <w:p w14:paraId="14127359" w14:textId="77777777" w:rsidR="005C7C0B" w:rsidRPr="005C7C0B" w:rsidRDefault="005C7C0B" w:rsidP="005C7C0B">
            <w:pPr>
              <w:pStyle w:val="ListParagraph"/>
              <w:numPr>
                <w:ilvl w:val="0"/>
                <w:numId w:val="20"/>
              </w:numPr>
              <w:spacing w:line="252" w:lineRule="auto"/>
              <w:rPr>
                <w:rFonts w:ascii="Calibri" w:hAnsi="Calibri" w:cs="Calibri"/>
                <w:bCs/>
                <w:color w:val="000000" w:themeColor="text1"/>
              </w:rPr>
            </w:pPr>
            <w:r w:rsidRPr="005C7C0B">
              <w:rPr>
                <w:rFonts w:ascii="Calibri" w:hAnsi="Calibri" w:cs="Calibri"/>
                <w:bCs/>
                <w:color w:val="000000" w:themeColor="text1"/>
              </w:rPr>
              <w:t>Consider the historical context of the Russian Revolution</w:t>
            </w:r>
          </w:p>
          <w:p w14:paraId="22DFDDD9" w14:textId="77777777" w:rsidR="005C7C0B" w:rsidRPr="005C7C0B" w:rsidRDefault="005C7C0B" w:rsidP="005C7C0B">
            <w:pPr>
              <w:pStyle w:val="ListParagraph"/>
              <w:numPr>
                <w:ilvl w:val="0"/>
                <w:numId w:val="20"/>
              </w:numPr>
              <w:spacing w:line="252" w:lineRule="auto"/>
              <w:rPr>
                <w:rFonts w:ascii="Calibri" w:hAnsi="Calibri" w:cs="Calibri"/>
                <w:bCs/>
                <w:color w:val="000000" w:themeColor="text1"/>
              </w:rPr>
            </w:pPr>
            <w:r w:rsidRPr="005C7C0B">
              <w:rPr>
                <w:rFonts w:ascii="Calibri" w:hAnsi="Calibri" w:cs="Calibri"/>
                <w:bCs/>
                <w:color w:val="000000" w:themeColor="text1"/>
              </w:rPr>
              <w:t xml:space="preserve">Use diverging accounts of events to reflect on the construction of </w:t>
            </w:r>
            <w:proofErr w:type="gramStart"/>
            <w:r w:rsidRPr="005C7C0B">
              <w:rPr>
                <w:rFonts w:ascii="Calibri" w:hAnsi="Calibri" w:cs="Calibri"/>
                <w:bCs/>
                <w:color w:val="000000" w:themeColor="text1"/>
              </w:rPr>
              <w:t>history</w:t>
            </w:r>
            <w:proofErr w:type="gramEnd"/>
          </w:p>
          <w:p w14:paraId="3D5623F1" w14:textId="014E905F" w:rsidR="00FF0DD0" w:rsidRPr="005C7C0B" w:rsidRDefault="005C7C0B" w:rsidP="005C7C0B">
            <w:pPr>
              <w:pStyle w:val="ListParagraph"/>
              <w:spacing w:line="252" w:lineRule="auto"/>
              <w:ind w:left="346"/>
              <w:rPr>
                <w:color w:val="000000" w:themeColor="text1"/>
              </w:rPr>
            </w:pPr>
            <w:r w:rsidRPr="005C7C0B">
              <w:rPr>
                <w:rFonts w:ascii="Calibri" w:hAnsi="Calibri" w:cs="Calibri"/>
                <w:bCs/>
                <w:color w:val="000000" w:themeColor="text1"/>
              </w:rPr>
              <w:t>Connect events happening in 1905 in different places in the world to one another, and to the larger trends of modernity</w:t>
            </w:r>
          </w:p>
        </w:tc>
      </w:tr>
      <w:tr w:rsidR="00FF0DD0" w:rsidRPr="005C7C0B" w14:paraId="66D898BB" w14:textId="77777777" w:rsidTr="005C7C0B">
        <w:tc>
          <w:tcPr>
            <w:tcW w:w="2250" w:type="dxa"/>
          </w:tcPr>
          <w:p w14:paraId="1ECE5B14" w14:textId="0F14BFF5" w:rsidR="00FF0DD0" w:rsidRPr="005C7C0B" w:rsidRDefault="00FF0DD0" w:rsidP="008B1474">
            <w:pPr>
              <w:spacing w:line="252" w:lineRule="auto"/>
              <w:rPr>
                <w:b/>
                <w:color w:val="000000" w:themeColor="text1"/>
              </w:rPr>
            </w:pPr>
            <w:r w:rsidRPr="005C7C0B">
              <w:rPr>
                <w:rFonts w:ascii="Calibri" w:hAnsi="Calibri" w:cs="Calibri"/>
                <w:b/>
                <w:color w:val="000000" w:themeColor="text1"/>
              </w:rPr>
              <w:t>Lesson 4: Women’s Suffrage in Britain</w:t>
            </w:r>
          </w:p>
        </w:tc>
        <w:tc>
          <w:tcPr>
            <w:tcW w:w="3330" w:type="dxa"/>
          </w:tcPr>
          <w:p w14:paraId="4F9A630E" w14:textId="77777777" w:rsidR="00FF0DD0" w:rsidRPr="005C7C0B" w:rsidRDefault="00FF0DD0" w:rsidP="00FF0DD0">
            <w:pPr>
              <w:pStyle w:val="ListParagraph"/>
              <w:numPr>
                <w:ilvl w:val="0"/>
                <w:numId w:val="13"/>
              </w:numPr>
              <w:spacing w:line="252" w:lineRule="auto"/>
              <w:rPr>
                <w:color w:val="000000" w:themeColor="text1"/>
              </w:rPr>
            </w:pPr>
            <w:r w:rsidRPr="005C7C0B">
              <w:rPr>
                <w:rFonts w:ascii="Calibri" w:hAnsi="Calibri" w:cs="Calibri"/>
                <w:bCs/>
                <w:color w:val="000000" w:themeColor="text1"/>
              </w:rPr>
              <w:t>Reading 4: Women’s Suffrage in Britain</w:t>
            </w:r>
            <w:r w:rsidRPr="005C7C0B">
              <w:rPr>
                <w:color w:val="000000" w:themeColor="text1"/>
              </w:rPr>
              <w:t xml:space="preserve"> </w:t>
            </w:r>
          </w:p>
          <w:p w14:paraId="35C2C000" w14:textId="70D6FB3B" w:rsidR="00FF0DD0" w:rsidRPr="005C7C0B" w:rsidRDefault="00FF0DD0" w:rsidP="00FF0DD0">
            <w:pPr>
              <w:pStyle w:val="ListParagraph"/>
              <w:numPr>
                <w:ilvl w:val="0"/>
                <w:numId w:val="13"/>
              </w:numPr>
              <w:spacing w:line="252" w:lineRule="auto"/>
              <w:rPr>
                <w:color w:val="000000" w:themeColor="text1"/>
              </w:rPr>
            </w:pPr>
            <w:r w:rsidRPr="005C7C0B">
              <w:rPr>
                <w:rFonts w:ascii="Calibri" w:hAnsi="Calibri" w:cs="Calibri"/>
                <w:bCs/>
                <w:color w:val="000000" w:themeColor="text1"/>
              </w:rPr>
              <w:t>Primary Sources: Women’s Suffrage in Britain</w:t>
            </w:r>
          </w:p>
        </w:tc>
        <w:tc>
          <w:tcPr>
            <w:tcW w:w="3870" w:type="dxa"/>
          </w:tcPr>
          <w:p w14:paraId="067DAC3E" w14:textId="77777777" w:rsidR="005C7C0B" w:rsidRPr="005C7C0B" w:rsidRDefault="005C7C0B" w:rsidP="005C7C0B">
            <w:pPr>
              <w:pStyle w:val="ListParagraph"/>
              <w:numPr>
                <w:ilvl w:val="0"/>
                <w:numId w:val="13"/>
              </w:numPr>
              <w:spacing w:line="252" w:lineRule="auto"/>
              <w:rPr>
                <w:rFonts w:ascii="Calibri" w:hAnsi="Calibri" w:cs="Calibri"/>
                <w:bCs/>
                <w:color w:val="000000" w:themeColor="text1"/>
              </w:rPr>
            </w:pPr>
            <w:r w:rsidRPr="005C7C0B">
              <w:rPr>
                <w:rFonts w:ascii="Calibri" w:hAnsi="Calibri" w:cs="Calibri"/>
                <w:bCs/>
                <w:color w:val="000000" w:themeColor="text1"/>
              </w:rPr>
              <w:t xml:space="preserve">Consider the historical context of the women’s suffrage movement in </w:t>
            </w:r>
            <w:proofErr w:type="gramStart"/>
            <w:r w:rsidRPr="005C7C0B">
              <w:rPr>
                <w:rFonts w:ascii="Calibri" w:hAnsi="Calibri" w:cs="Calibri"/>
                <w:bCs/>
                <w:color w:val="000000" w:themeColor="text1"/>
              </w:rPr>
              <w:t>Britain</w:t>
            </w:r>
            <w:proofErr w:type="gramEnd"/>
          </w:p>
          <w:p w14:paraId="1E458038" w14:textId="77777777" w:rsidR="005C7C0B" w:rsidRPr="005C7C0B" w:rsidRDefault="005C7C0B" w:rsidP="005C7C0B">
            <w:pPr>
              <w:pStyle w:val="ListParagraph"/>
              <w:numPr>
                <w:ilvl w:val="0"/>
                <w:numId w:val="13"/>
              </w:numPr>
              <w:spacing w:line="252" w:lineRule="auto"/>
              <w:rPr>
                <w:rFonts w:ascii="Calibri" w:hAnsi="Calibri" w:cs="Calibri"/>
                <w:bCs/>
                <w:color w:val="000000" w:themeColor="text1"/>
              </w:rPr>
            </w:pPr>
            <w:r w:rsidRPr="005C7C0B">
              <w:rPr>
                <w:rFonts w:ascii="Calibri" w:hAnsi="Calibri" w:cs="Calibri"/>
                <w:bCs/>
                <w:color w:val="000000" w:themeColor="text1"/>
              </w:rPr>
              <w:t xml:space="preserve">Examine the arguments for and against the Women’s Enfranchisement Bill of 1905 </w:t>
            </w:r>
          </w:p>
          <w:p w14:paraId="11864382" w14:textId="6B54B8EF" w:rsidR="00FF0DD0" w:rsidRPr="005C7C0B" w:rsidRDefault="005C7C0B" w:rsidP="005C7C0B">
            <w:pPr>
              <w:pStyle w:val="ListParagraph"/>
              <w:numPr>
                <w:ilvl w:val="0"/>
                <w:numId w:val="13"/>
              </w:numPr>
              <w:spacing w:line="252" w:lineRule="auto"/>
              <w:rPr>
                <w:color w:val="000000" w:themeColor="text1"/>
              </w:rPr>
            </w:pPr>
            <w:r w:rsidRPr="005C7C0B">
              <w:rPr>
                <w:rFonts w:ascii="Calibri" w:hAnsi="Calibri" w:cs="Calibri"/>
                <w:bCs/>
                <w:color w:val="000000" w:themeColor="text1"/>
              </w:rPr>
              <w:t xml:space="preserve">Consider the ways suffragettes </w:t>
            </w:r>
            <w:proofErr w:type="gramStart"/>
            <w:r w:rsidRPr="005C7C0B">
              <w:rPr>
                <w:rFonts w:ascii="Calibri" w:hAnsi="Calibri" w:cs="Calibri"/>
                <w:bCs/>
                <w:color w:val="000000" w:themeColor="text1"/>
              </w:rPr>
              <w:t>reflected back</w:t>
            </w:r>
            <w:proofErr w:type="gramEnd"/>
            <w:r w:rsidRPr="005C7C0B">
              <w:rPr>
                <w:rFonts w:ascii="Calibri" w:hAnsi="Calibri" w:cs="Calibri"/>
                <w:bCs/>
                <w:color w:val="000000" w:themeColor="text1"/>
              </w:rPr>
              <w:t xml:space="preserve"> on the significance of the bill after its failure</w:t>
            </w:r>
          </w:p>
        </w:tc>
      </w:tr>
      <w:tr w:rsidR="00FF0DD0" w:rsidRPr="005C7C0B" w14:paraId="62F9F8F7" w14:textId="77777777" w:rsidTr="005C7C0B">
        <w:tc>
          <w:tcPr>
            <w:tcW w:w="2250" w:type="dxa"/>
          </w:tcPr>
          <w:p w14:paraId="5C0FC653" w14:textId="56298C23" w:rsidR="00FF0DD0" w:rsidRPr="005C7C0B" w:rsidRDefault="00FF0DD0" w:rsidP="008B1474">
            <w:pPr>
              <w:spacing w:line="252" w:lineRule="auto"/>
              <w:rPr>
                <w:b/>
                <w:color w:val="000000" w:themeColor="text1"/>
              </w:rPr>
            </w:pPr>
            <w:r w:rsidRPr="005C7C0B">
              <w:rPr>
                <w:rFonts w:ascii="Calibri" w:hAnsi="Calibri" w:cs="Calibri"/>
                <w:b/>
                <w:color w:val="000000" w:themeColor="text1"/>
              </w:rPr>
              <w:t>Lesson 5: The Partition of Bengal</w:t>
            </w:r>
          </w:p>
        </w:tc>
        <w:tc>
          <w:tcPr>
            <w:tcW w:w="3330" w:type="dxa"/>
          </w:tcPr>
          <w:p w14:paraId="53284A37" w14:textId="77777777" w:rsidR="00FF0DD0" w:rsidRPr="005C7C0B" w:rsidRDefault="00FF0DD0" w:rsidP="00FF0DD0">
            <w:pPr>
              <w:pStyle w:val="ListParagraph"/>
              <w:numPr>
                <w:ilvl w:val="0"/>
                <w:numId w:val="18"/>
              </w:numPr>
              <w:spacing w:line="252" w:lineRule="auto"/>
              <w:rPr>
                <w:rFonts w:ascii="Calibri" w:hAnsi="Calibri" w:cs="Calibri"/>
                <w:bCs/>
                <w:color w:val="000000" w:themeColor="text1"/>
              </w:rPr>
            </w:pPr>
            <w:r w:rsidRPr="005C7C0B">
              <w:rPr>
                <w:rFonts w:ascii="Calibri" w:hAnsi="Calibri" w:cs="Calibri"/>
                <w:bCs/>
                <w:color w:val="000000" w:themeColor="text1"/>
              </w:rPr>
              <w:t>Reading 5: The Partition of Bengal</w:t>
            </w:r>
          </w:p>
          <w:p w14:paraId="643845ED" w14:textId="4BB40821" w:rsidR="00FF0DD0" w:rsidRPr="005C7C0B" w:rsidRDefault="00FF0DD0" w:rsidP="00FF0DD0">
            <w:pPr>
              <w:pStyle w:val="ListParagraph"/>
              <w:numPr>
                <w:ilvl w:val="0"/>
                <w:numId w:val="18"/>
              </w:numPr>
              <w:spacing w:line="252" w:lineRule="auto"/>
              <w:rPr>
                <w:rFonts w:ascii="Calibri" w:hAnsi="Calibri" w:cs="Calibri"/>
                <w:bCs/>
                <w:color w:val="000000" w:themeColor="text1"/>
              </w:rPr>
            </w:pPr>
            <w:r w:rsidRPr="005C7C0B">
              <w:rPr>
                <w:rFonts w:ascii="Calibri" w:hAnsi="Calibri" w:cs="Calibri"/>
                <w:bCs/>
                <w:color w:val="000000" w:themeColor="text1"/>
              </w:rPr>
              <w:t>Primary Sources: The Partition of Bengal</w:t>
            </w:r>
          </w:p>
        </w:tc>
        <w:tc>
          <w:tcPr>
            <w:tcW w:w="3870" w:type="dxa"/>
          </w:tcPr>
          <w:p w14:paraId="680DC903" w14:textId="77777777" w:rsidR="005C7C0B" w:rsidRPr="005C7C0B" w:rsidRDefault="005C7C0B" w:rsidP="005C7C0B">
            <w:pPr>
              <w:pStyle w:val="ListParagraph"/>
              <w:numPr>
                <w:ilvl w:val="0"/>
                <w:numId w:val="18"/>
              </w:numPr>
              <w:spacing w:line="252" w:lineRule="auto"/>
              <w:rPr>
                <w:rFonts w:ascii="Calibri" w:hAnsi="Calibri" w:cs="Calibri"/>
                <w:bCs/>
                <w:color w:val="000000" w:themeColor="text1"/>
              </w:rPr>
            </w:pPr>
            <w:r w:rsidRPr="005C7C0B">
              <w:rPr>
                <w:rFonts w:ascii="Calibri" w:hAnsi="Calibri" w:cs="Calibri"/>
                <w:bCs/>
                <w:color w:val="000000" w:themeColor="text1"/>
              </w:rPr>
              <w:t>Consider the historical context of the Partition of Bengal</w:t>
            </w:r>
          </w:p>
          <w:p w14:paraId="73E575D1" w14:textId="77777777" w:rsidR="005C7C0B" w:rsidRPr="005C7C0B" w:rsidRDefault="005C7C0B" w:rsidP="005C7C0B">
            <w:pPr>
              <w:pStyle w:val="ListParagraph"/>
              <w:numPr>
                <w:ilvl w:val="0"/>
                <w:numId w:val="18"/>
              </w:numPr>
              <w:spacing w:line="252" w:lineRule="auto"/>
              <w:rPr>
                <w:rFonts w:ascii="Calibri" w:hAnsi="Calibri" w:cs="Calibri"/>
                <w:bCs/>
                <w:color w:val="000000" w:themeColor="text1"/>
              </w:rPr>
            </w:pPr>
            <w:r w:rsidRPr="005C7C0B">
              <w:rPr>
                <w:rFonts w:ascii="Calibri" w:hAnsi="Calibri" w:cs="Calibri"/>
                <w:bCs/>
                <w:color w:val="000000" w:themeColor="text1"/>
              </w:rPr>
              <w:t xml:space="preserve">Compare sources on the partition and its causes and </w:t>
            </w:r>
            <w:proofErr w:type="gramStart"/>
            <w:r w:rsidRPr="005C7C0B">
              <w:rPr>
                <w:rFonts w:ascii="Calibri" w:hAnsi="Calibri" w:cs="Calibri"/>
                <w:bCs/>
                <w:color w:val="000000" w:themeColor="text1"/>
              </w:rPr>
              <w:t>consequences</w:t>
            </w:r>
            <w:proofErr w:type="gramEnd"/>
          </w:p>
          <w:p w14:paraId="5DDF84E4" w14:textId="44E5CB30" w:rsidR="00FF0DD0" w:rsidRPr="005C7C0B" w:rsidRDefault="005C7C0B" w:rsidP="005C7C0B">
            <w:pPr>
              <w:pStyle w:val="ListParagraph"/>
              <w:numPr>
                <w:ilvl w:val="0"/>
                <w:numId w:val="18"/>
              </w:numPr>
              <w:spacing w:line="252" w:lineRule="auto"/>
              <w:rPr>
                <w:color w:val="000000" w:themeColor="text1"/>
              </w:rPr>
            </w:pPr>
            <w:r w:rsidRPr="005C7C0B">
              <w:rPr>
                <w:rFonts w:ascii="Calibri" w:hAnsi="Calibri" w:cs="Calibri"/>
                <w:bCs/>
                <w:color w:val="000000" w:themeColor="text1"/>
              </w:rPr>
              <w:lastRenderedPageBreak/>
              <w:t>Consider the ways the partition reflected the larger trends of modernity</w:t>
            </w:r>
          </w:p>
        </w:tc>
      </w:tr>
      <w:tr w:rsidR="00FF0DD0" w:rsidRPr="003F6132" w14:paraId="5E7302C7" w14:textId="77777777" w:rsidTr="005C7C0B">
        <w:tc>
          <w:tcPr>
            <w:tcW w:w="2250" w:type="dxa"/>
          </w:tcPr>
          <w:p w14:paraId="1C0C49EC" w14:textId="4C7B50E7" w:rsidR="00FF0DD0" w:rsidRPr="005C7C0B" w:rsidRDefault="00FF0DD0" w:rsidP="008B1474">
            <w:pPr>
              <w:spacing w:line="252" w:lineRule="auto"/>
              <w:rPr>
                <w:b/>
                <w:color w:val="000000" w:themeColor="text1"/>
              </w:rPr>
            </w:pPr>
            <w:r w:rsidRPr="005C7C0B">
              <w:rPr>
                <w:rFonts w:ascii="Calibri" w:hAnsi="Calibri" w:cs="Calibri"/>
                <w:b/>
                <w:color w:val="000000" w:themeColor="text1"/>
              </w:rPr>
              <w:lastRenderedPageBreak/>
              <w:t>Conclusion</w:t>
            </w:r>
          </w:p>
        </w:tc>
        <w:tc>
          <w:tcPr>
            <w:tcW w:w="3330" w:type="dxa"/>
          </w:tcPr>
          <w:p w14:paraId="1E7CA6FF" w14:textId="7D3E8812" w:rsidR="00FF0DD0" w:rsidRPr="005C7C0B" w:rsidRDefault="00FF0DD0" w:rsidP="00FF0DD0">
            <w:pPr>
              <w:pStyle w:val="ListParagraph"/>
              <w:numPr>
                <w:ilvl w:val="0"/>
                <w:numId w:val="15"/>
              </w:numPr>
              <w:spacing w:line="252" w:lineRule="auto"/>
              <w:rPr>
                <w:rFonts w:ascii="Calibri" w:hAnsi="Calibri" w:cs="Calibri"/>
                <w:bCs/>
                <w:color w:val="000000" w:themeColor="text1"/>
              </w:rPr>
            </w:pPr>
            <w:r w:rsidRPr="005C7C0B">
              <w:rPr>
                <w:rFonts w:ascii="Calibri" w:hAnsi="Calibri" w:cs="Calibri"/>
                <w:bCs/>
                <w:color w:val="000000" w:themeColor="text1"/>
              </w:rPr>
              <w:t>Reading 6: Conclusion</w:t>
            </w:r>
          </w:p>
        </w:tc>
        <w:tc>
          <w:tcPr>
            <w:tcW w:w="3870" w:type="dxa"/>
          </w:tcPr>
          <w:p w14:paraId="38CEF09C" w14:textId="77777777" w:rsidR="005C7C0B" w:rsidRPr="005C7C0B" w:rsidRDefault="005C7C0B" w:rsidP="005C7C0B">
            <w:pPr>
              <w:pStyle w:val="ListParagraph"/>
              <w:numPr>
                <w:ilvl w:val="0"/>
                <w:numId w:val="15"/>
              </w:numPr>
              <w:spacing w:line="252" w:lineRule="auto"/>
              <w:rPr>
                <w:rFonts w:ascii="Calibri" w:hAnsi="Calibri" w:cs="Calibri"/>
                <w:bCs/>
                <w:color w:val="000000" w:themeColor="text1"/>
              </w:rPr>
            </w:pPr>
            <w:r w:rsidRPr="005C7C0B">
              <w:rPr>
                <w:rFonts w:ascii="Calibri" w:hAnsi="Calibri" w:cs="Calibri"/>
                <w:bCs/>
                <w:color w:val="000000" w:themeColor="text1"/>
              </w:rPr>
              <w:t xml:space="preserve">Review the key questions and events of the </w:t>
            </w:r>
            <w:proofErr w:type="gramStart"/>
            <w:r w:rsidRPr="005C7C0B">
              <w:rPr>
                <w:rFonts w:ascii="Calibri" w:hAnsi="Calibri" w:cs="Calibri"/>
                <w:bCs/>
                <w:color w:val="000000" w:themeColor="text1"/>
              </w:rPr>
              <w:t>module</w:t>
            </w:r>
            <w:proofErr w:type="gramEnd"/>
          </w:p>
          <w:p w14:paraId="75F1559A" w14:textId="77777777" w:rsidR="005C7C0B" w:rsidRPr="005C7C0B" w:rsidRDefault="005C7C0B" w:rsidP="005C7C0B">
            <w:pPr>
              <w:pStyle w:val="ListParagraph"/>
              <w:numPr>
                <w:ilvl w:val="0"/>
                <w:numId w:val="15"/>
              </w:numPr>
              <w:spacing w:line="252" w:lineRule="auto"/>
              <w:rPr>
                <w:rFonts w:ascii="Calibri" w:hAnsi="Calibri" w:cs="Calibri"/>
                <w:bCs/>
                <w:color w:val="000000" w:themeColor="text1"/>
              </w:rPr>
            </w:pPr>
            <w:r w:rsidRPr="005C7C0B">
              <w:rPr>
                <w:rFonts w:ascii="Calibri" w:hAnsi="Calibri" w:cs="Calibri"/>
                <w:bCs/>
                <w:color w:val="000000" w:themeColor="text1"/>
              </w:rPr>
              <w:t xml:space="preserve">Consider how the events discussed reflect the changes of </w:t>
            </w:r>
            <w:proofErr w:type="gramStart"/>
            <w:r w:rsidRPr="005C7C0B">
              <w:rPr>
                <w:rFonts w:ascii="Calibri" w:hAnsi="Calibri" w:cs="Calibri"/>
                <w:bCs/>
                <w:color w:val="000000" w:themeColor="text1"/>
              </w:rPr>
              <w:t>modernity</w:t>
            </w:r>
            <w:proofErr w:type="gramEnd"/>
          </w:p>
          <w:p w14:paraId="2F1F4A52" w14:textId="466DF958" w:rsidR="00FF0DD0" w:rsidRPr="005C7C0B" w:rsidRDefault="005C7C0B" w:rsidP="005C7C0B">
            <w:pPr>
              <w:pStyle w:val="ListParagraph"/>
              <w:numPr>
                <w:ilvl w:val="0"/>
                <w:numId w:val="15"/>
              </w:numPr>
              <w:spacing w:line="252" w:lineRule="auto"/>
              <w:rPr>
                <w:color w:val="000000" w:themeColor="text1"/>
              </w:rPr>
            </w:pPr>
            <w:r w:rsidRPr="005C7C0B">
              <w:rPr>
                <w:rFonts w:ascii="Calibri" w:hAnsi="Calibri" w:cs="Calibri"/>
                <w:bCs/>
                <w:color w:val="000000" w:themeColor="text1"/>
              </w:rPr>
              <w:t>Reflect on the interpretations of 1905 by primary source authors</w:t>
            </w:r>
          </w:p>
        </w:tc>
      </w:tr>
    </w:tbl>
    <w:p w14:paraId="1E683B37" w14:textId="77777777" w:rsidR="00FF0DD0" w:rsidRPr="002143BE" w:rsidRDefault="00FF0DD0" w:rsidP="00FF0DD0">
      <w:pPr>
        <w:pStyle w:val="Style1"/>
        <w:rPr>
          <w:rFonts w:ascii="Calibri" w:hAnsi="Calibri" w:cs="Calibri"/>
          <w:sz w:val="24"/>
          <w:szCs w:val="24"/>
        </w:rPr>
      </w:pPr>
    </w:p>
    <w:p w14:paraId="4819B76D" w14:textId="77777777" w:rsidR="00363D51" w:rsidRDefault="00363D51"/>
    <w:sectPr w:rsidR="00363D51" w:rsidSect="002050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D218" w14:textId="77777777" w:rsidR="00AD0BBB" w:rsidRDefault="00AD0BBB" w:rsidP="009B68E5">
      <w:r>
        <w:separator/>
      </w:r>
    </w:p>
  </w:endnote>
  <w:endnote w:type="continuationSeparator" w:id="0">
    <w:p w14:paraId="7804854C" w14:textId="77777777" w:rsidR="00AD0BBB" w:rsidRDefault="00AD0BBB" w:rsidP="009B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panose1 w:val="020B0604020202020204"/>
    <w:charset w:val="00"/>
    <w:family w:val="roman"/>
    <w:notTrueType/>
    <w:pitch w:val="default"/>
  </w:font>
  <w:font w:name="Avenir Next LT Pro">
    <w:panose1 w:val="020B0504020202020204"/>
    <w:charset w:val="4D"/>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EA72" w14:textId="77777777" w:rsidR="00AD0BBB" w:rsidRDefault="00AD0BBB" w:rsidP="009B68E5">
      <w:r>
        <w:separator/>
      </w:r>
    </w:p>
  </w:footnote>
  <w:footnote w:type="continuationSeparator" w:id="0">
    <w:p w14:paraId="26928A11" w14:textId="77777777" w:rsidR="00AD0BBB" w:rsidRDefault="00AD0BBB" w:rsidP="009B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E2B"/>
    <w:multiLevelType w:val="multilevel"/>
    <w:tmpl w:val="EF960BB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191F34"/>
    <w:multiLevelType w:val="hybridMultilevel"/>
    <w:tmpl w:val="559EE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F53BA"/>
    <w:multiLevelType w:val="hybridMultilevel"/>
    <w:tmpl w:val="B8EE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1C8E"/>
    <w:multiLevelType w:val="hybridMultilevel"/>
    <w:tmpl w:val="43A20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51315E"/>
    <w:multiLevelType w:val="hybridMultilevel"/>
    <w:tmpl w:val="4B7E8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285A34"/>
    <w:multiLevelType w:val="hybridMultilevel"/>
    <w:tmpl w:val="3014D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94B85"/>
    <w:multiLevelType w:val="hybridMultilevel"/>
    <w:tmpl w:val="1232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E96495"/>
    <w:multiLevelType w:val="hybridMultilevel"/>
    <w:tmpl w:val="09847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41897"/>
    <w:multiLevelType w:val="hybridMultilevel"/>
    <w:tmpl w:val="FC4C8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B37481"/>
    <w:multiLevelType w:val="hybridMultilevel"/>
    <w:tmpl w:val="D0A83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1F19A4"/>
    <w:multiLevelType w:val="hybridMultilevel"/>
    <w:tmpl w:val="AEFC8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D1A7E"/>
    <w:multiLevelType w:val="hybridMultilevel"/>
    <w:tmpl w:val="BF58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F79C4"/>
    <w:multiLevelType w:val="hybridMultilevel"/>
    <w:tmpl w:val="5CB62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A0D68"/>
    <w:multiLevelType w:val="hybridMultilevel"/>
    <w:tmpl w:val="25627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8D1572"/>
    <w:multiLevelType w:val="hybridMultilevel"/>
    <w:tmpl w:val="D98E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637AC"/>
    <w:multiLevelType w:val="hybridMultilevel"/>
    <w:tmpl w:val="7C88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D56A53"/>
    <w:multiLevelType w:val="hybridMultilevel"/>
    <w:tmpl w:val="7AF0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E26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57573E"/>
    <w:multiLevelType w:val="hybridMultilevel"/>
    <w:tmpl w:val="B9048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CA0FF7"/>
    <w:multiLevelType w:val="hybridMultilevel"/>
    <w:tmpl w:val="5B80B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F2D2A"/>
    <w:multiLevelType w:val="hybridMultilevel"/>
    <w:tmpl w:val="0140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569D5"/>
    <w:multiLevelType w:val="hybridMultilevel"/>
    <w:tmpl w:val="DC52D29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2" w15:restartNumberingAfterBreak="0">
    <w:nsid w:val="7E4205B4"/>
    <w:multiLevelType w:val="hybridMultilevel"/>
    <w:tmpl w:val="4148C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6641777">
    <w:abstractNumId w:val="7"/>
  </w:num>
  <w:num w:numId="2" w16cid:durableId="417875115">
    <w:abstractNumId w:val="10"/>
  </w:num>
  <w:num w:numId="3" w16cid:durableId="1979721987">
    <w:abstractNumId w:val="16"/>
  </w:num>
  <w:num w:numId="4" w16cid:durableId="24601454">
    <w:abstractNumId w:val="17"/>
  </w:num>
  <w:num w:numId="5" w16cid:durableId="1121344079">
    <w:abstractNumId w:val="20"/>
  </w:num>
  <w:num w:numId="6" w16cid:durableId="1091126077">
    <w:abstractNumId w:val="13"/>
  </w:num>
  <w:num w:numId="7" w16cid:durableId="1465537286">
    <w:abstractNumId w:val="14"/>
  </w:num>
  <w:num w:numId="8" w16cid:durableId="1074619766">
    <w:abstractNumId w:val="2"/>
  </w:num>
  <w:num w:numId="9" w16cid:durableId="739132379">
    <w:abstractNumId w:val="21"/>
  </w:num>
  <w:num w:numId="10" w16cid:durableId="220793594">
    <w:abstractNumId w:val="6"/>
  </w:num>
  <w:num w:numId="11" w16cid:durableId="1340084392">
    <w:abstractNumId w:val="0"/>
  </w:num>
  <w:num w:numId="12" w16cid:durableId="1039475686">
    <w:abstractNumId w:val="22"/>
  </w:num>
  <w:num w:numId="13" w16cid:durableId="1572501110">
    <w:abstractNumId w:val="15"/>
  </w:num>
  <w:num w:numId="14" w16cid:durableId="1617953208">
    <w:abstractNumId w:val="11"/>
  </w:num>
  <w:num w:numId="15" w16cid:durableId="760875878">
    <w:abstractNumId w:val="1"/>
  </w:num>
  <w:num w:numId="16" w16cid:durableId="290982128">
    <w:abstractNumId w:val="4"/>
  </w:num>
  <w:num w:numId="17" w16cid:durableId="2049987261">
    <w:abstractNumId w:val="19"/>
  </w:num>
  <w:num w:numId="18" w16cid:durableId="1994677705">
    <w:abstractNumId w:val="8"/>
  </w:num>
  <w:num w:numId="19" w16cid:durableId="1766341603">
    <w:abstractNumId w:val="5"/>
  </w:num>
  <w:num w:numId="20" w16cid:durableId="1310213116">
    <w:abstractNumId w:val="12"/>
  </w:num>
  <w:num w:numId="21" w16cid:durableId="356322507">
    <w:abstractNumId w:val="3"/>
  </w:num>
  <w:num w:numId="22" w16cid:durableId="77337994">
    <w:abstractNumId w:val="18"/>
  </w:num>
  <w:num w:numId="23" w16cid:durableId="1546454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69"/>
    <w:rsid w:val="00056F1A"/>
    <w:rsid w:val="00061C53"/>
    <w:rsid w:val="00125202"/>
    <w:rsid w:val="00144C67"/>
    <w:rsid w:val="00182416"/>
    <w:rsid w:val="001848E8"/>
    <w:rsid w:val="001C3CFB"/>
    <w:rsid w:val="002050AD"/>
    <w:rsid w:val="00232F94"/>
    <w:rsid w:val="00242F2E"/>
    <w:rsid w:val="002722B6"/>
    <w:rsid w:val="00275C83"/>
    <w:rsid w:val="002B4508"/>
    <w:rsid w:val="00332653"/>
    <w:rsid w:val="00357A44"/>
    <w:rsid w:val="00363D51"/>
    <w:rsid w:val="00366A29"/>
    <w:rsid w:val="003712A5"/>
    <w:rsid w:val="003E65F8"/>
    <w:rsid w:val="004214E6"/>
    <w:rsid w:val="0045319A"/>
    <w:rsid w:val="004C0126"/>
    <w:rsid w:val="004C23F3"/>
    <w:rsid w:val="005461E2"/>
    <w:rsid w:val="005C7C0B"/>
    <w:rsid w:val="006474BE"/>
    <w:rsid w:val="00653F9A"/>
    <w:rsid w:val="00675860"/>
    <w:rsid w:val="007F11EA"/>
    <w:rsid w:val="007F2750"/>
    <w:rsid w:val="0080726F"/>
    <w:rsid w:val="00811582"/>
    <w:rsid w:val="00850A94"/>
    <w:rsid w:val="00851F38"/>
    <w:rsid w:val="00856BE7"/>
    <w:rsid w:val="008641C6"/>
    <w:rsid w:val="0087234E"/>
    <w:rsid w:val="00875FB4"/>
    <w:rsid w:val="00886E66"/>
    <w:rsid w:val="008E7F74"/>
    <w:rsid w:val="00907FC8"/>
    <w:rsid w:val="00974940"/>
    <w:rsid w:val="009B68E5"/>
    <w:rsid w:val="009C125A"/>
    <w:rsid w:val="00A120F2"/>
    <w:rsid w:val="00A13330"/>
    <w:rsid w:val="00A87C89"/>
    <w:rsid w:val="00A95B5C"/>
    <w:rsid w:val="00AD0BBB"/>
    <w:rsid w:val="00B1233F"/>
    <w:rsid w:val="00B318C8"/>
    <w:rsid w:val="00C3327F"/>
    <w:rsid w:val="00CD56AE"/>
    <w:rsid w:val="00CE0152"/>
    <w:rsid w:val="00D15E19"/>
    <w:rsid w:val="00D43380"/>
    <w:rsid w:val="00D74F7A"/>
    <w:rsid w:val="00D84E30"/>
    <w:rsid w:val="00DA2306"/>
    <w:rsid w:val="00DF0B8E"/>
    <w:rsid w:val="00E26CE2"/>
    <w:rsid w:val="00E43569"/>
    <w:rsid w:val="00EA068A"/>
    <w:rsid w:val="00EA1749"/>
    <w:rsid w:val="00EF6B76"/>
    <w:rsid w:val="00F15954"/>
    <w:rsid w:val="00F16897"/>
    <w:rsid w:val="00F27E63"/>
    <w:rsid w:val="00F4028D"/>
    <w:rsid w:val="00F74276"/>
    <w:rsid w:val="00F76AB0"/>
    <w:rsid w:val="00F967A2"/>
    <w:rsid w:val="00FA2DDB"/>
    <w:rsid w:val="00FF0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2EC706"/>
  <w15:docId w15:val="{8791905E-7D45-AC46-B406-924AEA8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8E5"/>
    <w:pPr>
      <w:tabs>
        <w:tab w:val="center" w:pos="4680"/>
        <w:tab w:val="right" w:pos="9360"/>
      </w:tabs>
    </w:pPr>
  </w:style>
  <w:style w:type="character" w:customStyle="1" w:styleId="HeaderChar">
    <w:name w:val="Header Char"/>
    <w:basedOn w:val="DefaultParagraphFont"/>
    <w:link w:val="Header"/>
    <w:uiPriority w:val="99"/>
    <w:rsid w:val="009B68E5"/>
  </w:style>
  <w:style w:type="paragraph" w:styleId="Footer">
    <w:name w:val="footer"/>
    <w:basedOn w:val="Normal"/>
    <w:link w:val="FooterChar"/>
    <w:uiPriority w:val="99"/>
    <w:unhideWhenUsed/>
    <w:rsid w:val="009B68E5"/>
    <w:pPr>
      <w:tabs>
        <w:tab w:val="center" w:pos="4680"/>
        <w:tab w:val="right" w:pos="9360"/>
      </w:tabs>
    </w:pPr>
  </w:style>
  <w:style w:type="character" w:customStyle="1" w:styleId="FooterChar">
    <w:name w:val="Footer Char"/>
    <w:basedOn w:val="DefaultParagraphFont"/>
    <w:link w:val="Footer"/>
    <w:uiPriority w:val="99"/>
    <w:rsid w:val="009B68E5"/>
  </w:style>
  <w:style w:type="paragraph" w:styleId="ListParagraph">
    <w:name w:val="List Paragraph"/>
    <w:basedOn w:val="Normal"/>
    <w:uiPriority w:val="34"/>
    <w:qFormat/>
    <w:rsid w:val="00E26CE2"/>
    <w:pPr>
      <w:ind w:left="720"/>
      <w:contextualSpacing/>
    </w:pPr>
  </w:style>
  <w:style w:type="table" w:styleId="TableGrid">
    <w:name w:val="Table Grid"/>
    <w:basedOn w:val="TableNormal"/>
    <w:uiPriority w:val="39"/>
    <w:rsid w:val="0087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qFormat/>
    <w:rsid w:val="00FF0DD0"/>
    <w:rPr>
      <w:rFonts w:ascii="Constantia" w:hAnsi="Constantia" w:cs="Times New Roman (Body CS)"/>
      <w:sz w:val="22"/>
      <w:szCs w:val="22"/>
    </w:rPr>
  </w:style>
  <w:style w:type="paragraph" w:styleId="NoSpacing">
    <w:name w:val="No Spacing"/>
    <w:uiPriority w:val="1"/>
    <w:qFormat/>
    <w:rsid w:val="00FF0DD0"/>
  </w:style>
  <w:style w:type="paragraph" w:styleId="CommentText">
    <w:name w:val="annotation text"/>
    <w:basedOn w:val="Normal"/>
    <w:link w:val="CommentTextChar"/>
    <w:uiPriority w:val="99"/>
    <w:semiHidden/>
    <w:unhideWhenUsed/>
    <w:rsid w:val="005C7C0B"/>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C7C0B"/>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081212 harris</dc:creator>
  <cp:keywords/>
  <dc:description/>
  <cp:lastModifiedBy>Miller, Brenna C</cp:lastModifiedBy>
  <cp:revision>7</cp:revision>
  <cp:lastPrinted>2022-10-02T16:46:00Z</cp:lastPrinted>
  <dcterms:created xsi:type="dcterms:W3CDTF">2023-02-08T22:41:00Z</dcterms:created>
  <dcterms:modified xsi:type="dcterms:W3CDTF">2023-05-30T23:07:00Z</dcterms:modified>
</cp:coreProperties>
</file>